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4A81B797" w14:textId="77777777" w:rsidR="00EF6C4F" w:rsidRPr="00EF6C4F" w:rsidRDefault="00EF6C4F" w:rsidP="00EF6C4F"/>
    <w:p w14:paraId="6D6CF697" w14:textId="77777777" w:rsidR="007D387E" w:rsidRDefault="004A4C35" w:rsidP="00AD293A">
      <w:pPr>
        <w:pStyle w:val="a7"/>
        <w:spacing w:before="100"/>
      </w:pPr>
      <w:r>
        <w:rPr>
          <w:rFonts w:hint="eastAsia"/>
        </w:rPr>
        <w:t>公共考古遗址管理的塞拉莱（</w:t>
      </w:r>
      <w:proofErr w:type="spellStart"/>
      <w:r>
        <w:rPr>
          <w:rFonts w:hint="eastAsia"/>
        </w:rPr>
        <w:t>Salalah</w:t>
      </w:r>
      <w:proofErr w:type="spellEnd"/>
      <w:r>
        <w:rPr>
          <w:rFonts w:hint="eastAsia"/>
        </w:rPr>
        <w:t>）指南</w:t>
      </w:r>
    </w:p>
    <w:p w14:paraId="083CFDCA" w14:textId="77777777" w:rsidR="00AD293A" w:rsidRDefault="00AD293A" w:rsidP="00AD293A">
      <w:pPr>
        <w:ind w:firstLineChars="1100" w:firstLine="2640"/>
      </w:pPr>
      <w:r w:rsidRPr="00AD293A">
        <w:rPr>
          <w:rFonts w:hint="eastAsia"/>
        </w:rPr>
        <w:t>基于第十九届</w:t>
      </w:r>
      <w:r w:rsidRPr="00AD293A">
        <w:rPr>
          <w:rFonts w:hint="eastAsia"/>
        </w:rPr>
        <w:t>ICOMOS</w:t>
      </w:r>
      <w:r w:rsidRPr="00AD293A">
        <w:rPr>
          <w:rFonts w:hint="eastAsia"/>
        </w:rPr>
        <w:t>大会提交的版本，分发给</w:t>
      </w:r>
      <w:r w:rsidRPr="00AD293A">
        <w:rPr>
          <w:rFonts w:hint="eastAsia"/>
        </w:rPr>
        <w:t>ICOMOS</w:t>
      </w:r>
      <w:r w:rsidRPr="00AD293A">
        <w:rPr>
          <w:rFonts w:hint="eastAsia"/>
        </w:rPr>
        <w:t>成员的最终版草案</w:t>
      </w:r>
    </w:p>
    <w:p w14:paraId="26E0D679" w14:textId="77777777" w:rsidR="007D387E" w:rsidRPr="007D387E" w:rsidRDefault="007D387E" w:rsidP="007D387E"/>
    <w:p w14:paraId="1A909A41" w14:textId="77777777" w:rsidR="00B36C21" w:rsidRDefault="004A4C35">
      <w:pPr>
        <w:pStyle w:val="1"/>
      </w:pPr>
      <w:r>
        <w:rPr>
          <w:rFonts w:hint="eastAsia"/>
        </w:rPr>
        <w:t>序言</w:t>
      </w:r>
    </w:p>
    <w:p w14:paraId="387A6F3A" w14:textId="77777777" w:rsidR="00BA7DD5" w:rsidRDefault="00F95856" w:rsidP="00EF6C4F">
      <w:pPr>
        <w:spacing w:after="200" w:line="440" w:lineRule="exact"/>
        <w:ind w:firstLine="480"/>
        <w:jc w:val="left"/>
      </w:pPr>
      <w:r>
        <w:rPr>
          <w:rFonts w:hint="eastAsia"/>
        </w:rPr>
        <w:t>考古遗址受到其所在国家和地区的利益相关者的正当控制。若这些利益相关者</w:t>
      </w:r>
      <w:r w:rsidR="004A4C35">
        <w:rPr>
          <w:rFonts w:hint="eastAsia"/>
        </w:rPr>
        <w:t>决定</w:t>
      </w:r>
      <w:r>
        <w:rPr>
          <w:rFonts w:hint="eastAsia"/>
        </w:rPr>
        <w:t>将一个考古遗址</w:t>
      </w:r>
      <w:r w:rsidR="008D744E">
        <w:rPr>
          <w:rFonts w:hint="eastAsia"/>
        </w:rPr>
        <w:t>向公众开放</w:t>
      </w:r>
      <w:r w:rsidR="004A4C35">
        <w:rPr>
          <w:rFonts w:hint="eastAsia"/>
        </w:rPr>
        <w:t>，</w:t>
      </w:r>
      <w:r>
        <w:rPr>
          <w:rFonts w:hint="eastAsia"/>
        </w:rPr>
        <w:t>那么接下来的指南就是给他们</w:t>
      </w:r>
      <w:r w:rsidR="004A4C35">
        <w:rPr>
          <w:rFonts w:hint="eastAsia"/>
        </w:rPr>
        <w:t>的</w:t>
      </w:r>
      <w:r>
        <w:rPr>
          <w:rFonts w:hint="eastAsia"/>
        </w:rPr>
        <w:t>一些</w:t>
      </w:r>
      <w:r w:rsidR="004A4C35">
        <w:rPr>
          <w:rFonts w:hint="eastAsia"/>
        </w:rPr>
        <w:t>建议。</w:t>
      </w:r>
      <w:r w:rsidR="004A4C35" w:rsidRPr="00225C2D">
        <w:rPr>
          <w:rFonts w:hint="eastAsia"/>
          <w:i/>
        </w:rPr>
        <w:t>这些指南无意成为法规或标准，许多这些指南的</w:t>
      </w:r>
      <w:r w:rsidR="00915B5E" w:rsidRPr="00225C2D">
        <w:rPr>
          <w:rFonts w:hint="eastAsia"/>
          <w:i/>
        </w:rPr>
        <w:t>制定</w:t>
      </w:r>
      <w:r w:rsidR="00225C2D">
        <w:rPr>
          <w:rFonts w:hint="eastAsia"/>
          <w:i/>
        </w:rPr>
        <w:t>参与方也特意</w:t>
      </w:r>
      <w:r w:rsidR="004A4C35" w:rsidRPr="00225C2D">
        <w:rPr>
          <w:rFonts w:hint="eastAsia"/>
          <w:i/>
        </w:rPr>
        <w:t>声明我们反对将以下内容</w:t>
      </w:r>
      <w:r w:rsidR="00915B5E" w:rsidRPr="00225C2D">
        <w:rPr>
          <w:rFonts w:hint="eastAsia"/>
          <w:i/>
        </w:rPr>
        <w:t>变成</w:t>
      </w:r>
      <w:r w:rsidR="004A4C35" w:rsidRPr="00225C2D">
        <w:rPr>
          <w:rFonts w:hint="eastAsia"/>
          <w:i/>
        </w:rPr>
        <w:t>法规或标准。</w:t>
      </w:r>
      <w:r w:rsidR="009B37D6">
        <w:rPr>
          <w:rFonts w:hint="eastAsia"/>
        </w:rPr>
        <w:t>指南中的建议是来自许多国家和世界不同地区的参与</w:t>
      </w:r>
      <w:r w:rsidR="004A4C35">
        <w:rPr>
          <w:rFonts w:hint="eastAsia"/>
        </w:rPr>
        <w:t>管理</w:t>
      </w:r>
      <w:r w:rsidR="008D744E">
        <w:rPr>
          <w:rFonts w:hint="eastAsia"/>
        </w:rPr>
        <w:t>向公众开放</w:t>
      </w:r>
      <w:r w:rsidR="004A4C35">
        <w:rPr>
          <w:rFonts w:hint="eastAsia"/>
        </w:rPr>
        <w:t>的考古遗址的人员的集体经验。</w:t>
      </w:r>
      <w:r w:rsidR="009B37D6">
        <w:rPr>
          <w:rFonts w:hint="eastAsia"/>
        </w:rPr>
        <w:t>这些建议认同一个事实，即每个国家和地区是不同的，并且</w:t>
      </w:r>
      <w:r w:rsidR="00A04FA1">
        <w:rPr>
          <w:rFonts w:hint="eastAsia"/>
        </w:rPr>
        <w:t>这种文化多样性丰富了全人类的生活。因此，本</w:t>
      </w:r>
      <w:r w:rsidR="004A4C35">
        <w:rPr>
          <w:rFonts w:hint="eastAsia"/>
        </w:rPr>
        <w:t>指南中所提出的任何与</w:t>
      </w:r>
      <w:r w:rsidR="00A04FA1">
        <w:rPr>
          <w:rFonts w:hint="eastAsia"/>
        </w:rPr>
        <w:t>具体</w:t>
      </w:r>
      <w:r w:rsidR="004A4C35">
        <w:rPr>
          <w:rFonts w:hint="eastAsia"/>
        </w:rPr>
        <w:t>考古遗址（尤其是那些对游客开放的遗址）所在的区域和地方文化管理不相符合的建议，都可以修改。世界各地的国家公园系统和世界遗</w:t>
      </w:r>
      <w:r w:rsidR="00BF08EE">
        <w:rPr>
          <w:rFonts w:hint="eastAsia"/>
        </w:rPr>
        <w:t>产地中的考古遗址</w:t>
      </w:r>
      <w:r w:rsidR="00915B5E">
        <w:rPr>
          <w:rFonts w:hint="eastAsia"/>
        </w:rPr>
        <w:t>都</w:t>
      </w:r>
      <w:r w:rsidR="00BF08EE">
        <w:rPr>
          <w:rFonts w:hint="eastAsia"/>
        </w:rPr>
        <w:t>面临特别的挑战，因为旅游业将其作为首要目的地。自《保护世界文化和自然遗产公约》实施后的几十年里，这一现象变得尤其突出</w:t>
      </w:r>
      <w:r w:rsidR="001A2E2E">
        <w:rPr>
          <w:rFonts w:hint="eastAsia"/>
        </w:rPr>
        <w:t>。</w:t>
      </w:r>
      <w:r w:rsidR="004A4C35">
        <w:rPr>
          <w:rFonts w:hint="eastAsia"/>
        </w:rPr>
        <w:t>类似问题</w:t>
      </w:r>
      <w:r w:rsidR="00CC6D59">
        <w:rPr>
          <w:rFonts w:hint="eastAsia"/>
        </w:rPr>
        <w:t>持续</w:t>
      </w:r>
      <w:r w:rsidR="004A4C35">
        <w:rPr>
          <w:rFonts w:hint="eastAsia"/>
        </w:rPr>
        <w:t>出现在</w:t>
      </w:r>
      <w:r w:rsidR="008D744E">
        <w:rPr>
          <w:rFonts w:hint="eastAsia"/>
        </w:rPr>
        <w:t>向公众开放</w:t>
      </w:r>
      <w:r w:rsidR="001A2E2E">
        <w:rPr>
          <w:rFonts w:hint="eastAsia"/>
        </w:rPr>
        <w:t>的考古遗址中。本</w:t>
      </w:r>
      <w:r w:rsidR="004A4C35">
        <w:rPr>
          <w:rFonts w:hint="eastAsia"/>
        </w:rPr>
        <w:t>指南</w:t>
      </w:r>
      <w:r w:rsidR="00915B5E">
        <w:rPr>
          <w:rFonts w:hint="eastAsia"/>
        </w:rPr>
        <w:t>旨在</w:t>
      </w:r>
      <w:r w:rsidR="004A4C35">
        <w:rPr>
          <w:rFonts w:hint="eastAsia"/>
        </w:rPr>
        <w:t>减少类似问题在</w:t>
      </w:r>
      <w:r w:rsidR="008D744E">
        <w:rPr>
          <w:rFonts w:hint="eastAsia"/>
        </w:rPr>
        <w:t>向公众开放</w:t>
      </w:r>
      <w:r w:rsidR="001A2E2E">
        <w:rPr>
          <w:rFonts w:hint="eastAsia"/>
        </w:rPr>
        <w:t>的考古遗址中发生、</w:t>
      </w:r>
      <w:r w:rsidR="004A4C35">
        <w:rPr>
          <w:rFonts w:hint="eastAsia"/>
        </w:rPr>
        <w:t>发展和变得不可挽回的可能性。</w:t>
      </w:r>
    </w:p>
    <w:p w14:paraId="4C09E613" w14:textId="77777777" w:rsidR="004A62C4" w:rsidRDefault="004A62C4" w:rsidP="00EF6C4F">
      <w:pPr>
        <w:spacing w:after="200" w:line="440" w:lineRule="exact"/>
        <w:ind w:firstLine="480"/>
        <w:jc w:val="left"/>
      </w:pPr>
    </w:p>
    <w:p w14:paraId="32CC5739" w14:textId="77777777" w:rsidR="00B36C21" w:rsidRDefault="004A4C35">
      <w:pPr>
        <w:pStyle w:val="1"/>
      </w:pPr>
      <w:r>
        <w:rPr>
          <w:rFonts w:hint="eastAsia"/>
        </w:rPr>
        <w:t>本指南的宗旨和目标</w:t>
      </w:r>
    </w:p>
    <w:p w14:paraId="643AE3E5" w14:textId="77777777" w:rsidR="00B36C21" w:rsidRDefault="004A4C35" w:rsidP="001C6F90">
      <w:pPr>
        <w:spacing w:beforeLines="50" w:before="163"/>
      </w:pPr>
      <w:r>
        <w:rPr>
          <w:rFonts w:hint="eastAsia"/>
        </w:rPr>
        <w:t>本指南的宗旨是：</w:t>
      </w:r>
    </w:p>
    <w:p w14:paraId="4245BF41" w14:textId="77777777" w:rsidR="00B36C21" w:rsidRPr="0021709A" w:rsidRDefault="004A4C35" w:rsidP="001C6F90">
      <w:pPr>
        <w:numPr>
          <w:ilvl w:val="0"/>
          <w:numId w:val="2"/>
        </w:numPr>
        <w:spacing w:beforeLines="50" w:before="163"/>
        <w:ind w:leftChars="200" w:left="900"/>
      </w:pPr>
      <w:r w:rsidRPr="0021709A">
        <w:rPr>
          <w:rFonts w:hint="eastAsia"/>
        </w:rPr>
        <w:t>确定必要的研究，用以评估向公众开放或可能</w:t>
      </w:r>
      <w:r w:rsidR="00CD7B97" w:rsidRPr="0021709A">
        <w:rPr>
          <w:rFonts w:hint="eastAsia"/>
        </w:rPr>
        <w:t>向公众</w:t>
      </w:r>
      <w:r w:rsidRPr="0021709A">
        <w:rPr>
          <w:rFonts w:hint="eastAsia"/>
        </w:rPr>
        <w:t>开放的考古遗址建立可持续管理框架和系统的可行性</w:t>
      </w:r>
      <w:r w:rsidR="00932081">
        <w:rPr>
          <w:rFonts w:hint="eastAsia"/>
        </w:rPr>
        <w:t>；</w:t>
      </w:r>
    </w:p>
    <w:p w14:paraId="08C6EC25" w14:textId="77777777" w:rsidR="00B36C21" w:rsidRDefault="004A4C35" w:rsidP="00EF6C4F">
      <w:pPr>
        <w:numPr>
          <w:ilvl w:val="0"/>
          <w:numId w:val="2"/>
        </w:numPr>
        <w:ind w:leftChars="200" w:left="900"/>
      </w:pPr>
      <w:r>
        <w:rPr>
          <w:rFonts w:hint="eastAsia"/>
        </w:rPr>
        <w:t>参考上述可行性评估，指导可持续管理系统的建立。</w:t>
      </w:r>
    </w:p>
    <w:p w14:paraId="525DFE83" w14:textId="77777777" w:rsidR="00B36C21" w:rsidRDefault="004A4C35" w:rsidP="001E01C2">
      <w:r>
        <w:rPr>
          <w:rFonts w:hint="eastAsia"/>
        </w:rPr>
        <w:t>本指南的根本目标概括如下：</w:t>
      </w:r>
    </w:p>
    <w:p w14:paraId="7AF9D4D5" w14:textId="77777777" w:rsidR="00B36C21" w:rsidRDefault="006F09BC" w:rsidP="00EF6C4F">
      <w:pPr>
        <w:numPr>
          <w:ilvl w:val="0"/>
          <w:numId w:val="4"/>
        </w:numPr>
        <w:ind w:leftChars="200" w:left="900"/>
      </w:pPr>
      <w:r>
        <w:rPr>
          <w:rFonts w:hint="eastAsia"/>
        </w:rPr>
        <w:t>在其背景环境中保存和维护</w:t>
      </w:r>
      <w:r w:rsidR="004A4C35" w:rsidRPr="00396FBE">
        <w:rPr>
          <w:rFonts w:hint="eastAsia"/>
        </w:rPr>
        <w:t>考</w:t>
      </w:r>
      <w:r w:rsidR="00396FBE" w:rsidRPr="00396FBE">
        <w:rPr>
          <w:rFonts w:hint="eastAsia"/>
        </w:rPr>
        <w:t>古遗迹、遗物</w:t>
      </w:r>
      <w:r w:rsidR="004A4C35" w:rsidRPr="00396FBE">
        <w:rPr>
          <w:rFonts w:hint="eastAsia"/>
        </w:rPr>
        <w:t>和遗址</w:t>
      </w:r>
      <w:r w:rsidR="005421DB">
        <w:rPr>
          <w:rFonts w:hint="eastAsia"/>
        </w:rPr>
        <w:t>，以能够用</w:t>
      </w:r>
      <w:r w:rsidR="004A4C35">
        <w:rPr>
          <w:rFonts w:hint="eastAsia"/>
        </w:rPr>
        <w:t>科学的方式研究它们；</w:t>
      </w:r>
    </w:p>
    <w:p w14:paraId="5D66E923" w14:textId="77777777" w:rsidR="00B36C21" w:rsidRDefault="004A4C35" w:rsidP="00EF6C4F">
      <w:pPr>
        <w:numPr>
          <w:ilvl w:val="0"/>
          <w:numId w:val="4"/>
        </w:numPr>
        <w:ind w:leftChars="200" w:left="900"/>
      </w:pPr>
      <w:r>
        <w:rPr>
          <w:rFonts w:hint="eastAsia"/>
        </w:rPr>
        <w:t>为</w:t>
      </w:r>
      <w:r w:rsidR="008D744E">
        <w:rPr>
          <w:rFonts w:hint="eastAsia"/>
        </w:rPr>
        <w:t>向公众开放</w:t>
      </w:r>
      <w:r>
        <w:rPr>
          <w:rFonts w:hint="eastAsia"/>
        </w:rPr>
        <w:t>的考古遗址中的文化和自然资源提供一个</w:t>
      </w:r>
      <w:r w:rsidRPr="00396FBE">
        <w:rPr>
          <w:rFonts w:hint="eastAsia"/>
        </w:rPr>
        <w:t>合理的</w:t>
      </w:r>
      <w:r>
        <w:rPr>
          <w:rFonts w:hint="eastAsia"/>
        </w:rPr>
        <w:t>可持续管理</w:t>
      </w:r>
      <w:r w:rsidR="00CB5A9D">
        <w:rPr>
          <w:rFonts w:hint="eastAsia"/>
        </w:rPr>
        <w:t>（包括利用）</w:t>
      </w:r>
      <w:r>
        <w:rPr>
          <w:rFonts w:hint="eastAsia"/>
        </w:rPr>
        <w:t>实践模型</w:t>
      </w:r>
      <w:r w:rsidR="00932081">
        <w:rPr>
          <w:rFonts w:hint="eastAsia"/>
        </w:rPr>
        <w:t>；</w:t>
      </w:r>
      <w:r w:rsidR="00932081">
        <w:t xml:space="preserve"> </w:t>
      </w:r>
    </w:p>
    <w:p w14:paraId="500AC3FF" w14:textId="77777777" w:rsidR="00BB7A31" w:rsidRDefault="004A4C35" w:rsidP="00BB7A31">
      <w:pPr>
        <w:numPr>
          <w:ilvl w:val="0"/>
          <w:numId w:val="4"/>
        </w:numPr>
        <w:ind w:leftChars="200" w:left="900"/>
        <w:jc w:val="left"/>
      </w:pPr>
      <w:r>
        <w:rPr>
          <w:rFonts w:hint="eastAsia"/>
        </w:rPr>
        <w:t>利用</w:t>
      </w:r>
      <w:r w:rsidR="008D744E">
        <w:rPr>
          <w:rFonts w:hint="eastAsia"/>
        </w:rPr>
        <w:t>向公众开放</w:t>
      </w:r>
      <w:r>
        <w:rPr>
          <w:rFonts w:hint="eastAsia"/>
        </w:rPr>
        <w:t>的考古遗址，以互利共赢的方式使公众认识文化多样性的价值和文化间交流的力量。</w:t>
      </w:r>
    </w:p>
    <w:p w14:paraId="480DF723" w14:textId="77777777" w:rsidR="00B36C21" w:rsidRDefault="004A4C35" w:rsidP="00BB7A31">
      <w:pPr>
        <w:numPr>
          <w:ilvl w:val="0"/>
          <w:numId w:val="4"/>
        </w:numPr>
        <w:ind w:leftChars="200" w:left="900"/>
        <w:jc w:val="left"/>
      </w:pPr>
      <w:r>
        <w:rPr>
          <w:rFonts w:hint="eastAsia"/>
        </w:rPr>
        <w:t>保证考古遗址对可持续发展做出贡献。主要通过保存和</w:t>
      </w:r>
      <w:r w:rsidR="0093043A">
        <w:rPr>
          <w:rFonts w:hint="eastAsia"/>
        </w:rPr>
        <w:t>必要时恢复</w:t>
      </w:r>
      <w:r w:rsidR="000D6754">
        <w:rPr>
          <w:rFonts w:hint="eastAsia"/>
        </w:rPr>
        <w:t>其生态服务功能</w:t>
      </w:r>
      <w:r w:rsidR="0093043A">
        <w:rPr>
          <w:rFonts w:hint="eastAsia"/>
        </w:rPr>
        <w:t>，并以不引起社会扰动</w:t>
      </w:r>
      <w:r>
        <w:rPr>
          <w:rFonts w:hint="eastAsia"/>
        </w:rPr>
        <w:t>的方式为当地居民提供机会和支持来获得经济效益。</w:t>
      </w:r>
    </w:p>
    <w:p w14:paraId="5ACEC9F6" w14:textId="77777777" w:rsidR="00B36C21" w:rsidRDefault="004A4C35" w:rsidP="001C6F90">
      <w:pPr>
        <w:spacing w:beforeLines="50" w:before="163"/>
        <w:ind w:firstLineChars="200" w:firstLine="480"/>
      </w:pPr>
      <w:r>
        <w:rPr>
          <w:rFonts w:hint="eastAsia"/>
        </w:rPr>
        <w:t>考古遗址包含着实物证据，对其进行科学研究可以告诉我们有关人类的历史，正因如此，</w:t>
      </w:r>
      <w:r>
        <w:rPr>
          <w:rFonts w:hint="eastAsia"/>
        </w:rPr>
        <w:t>1964</w:t>
      </w:r>
      <w:r>
        <w:rPr>
          <w:rFonts w:hint="eastAsia"/>
        </w:rPr>
        <w:t>年国际古迹遗址理事会《威尼斯宪章》以诗意的语言称它们“饱含着过去岁月的信息”。参观考古遗址使人以</w:t>
      </w:r>
      <w:r w:rsidR="00ED7D5A" w:rsidRPr="00ED7D5A">
        <w:rPr>
          <w:rFonts w:hint="eastAsia"/>
        </w:rPr>
        <w:t>直观的</w:t>
      </w:r>
      <w:r>
        <w:rPr>
          <w:rFonts w:hint="eastAsia"/>
        </w:rPr>
        <w:t>方式了解人类的过去，这是其他方式不能提供的。因此，在不危及或毁坏</w:t>
      </w:r>
      <w:r w:rsidR="00ED7D5A" w:rsidRPr="00ED7D5A">
        <w:rPr>
          <w:rFonts w:hint="eastAsia"/>
        </w:rPr>
        <w:t>历史</w:t>
      </w:r>
      <w:r>
        <w:rPr>
          <w:rFonts w:hint="eastAsia"/>
        </w:rPr>
        <w:t>实物证据的前提下，参观考古遗址的体验应该尽可能广泛地向公众提供。相比较而言，</w:t>
      </w:r>
      <w:r w:rsidRPr="00ED7D5A">
        <w:rPr>
          <w:rFonts w:hint="eastAsia"/>
        </w:rPr>
        <w:t>地上建筑</w:t>
      </w:r>
      <w:r>
        <w:rPr>
          <w:rFonts w:hint="eastAsia"/>
        </w:rPr>
        <w:t>能够</w:t>
      </w:r>
      <w:r w:rsidRPr="00ED7D5A">
        <w:rPr>
          <w:rFonts w:hint="eastAsia"/>
        </w:rPr>
        <w:t>从外观上</w:t>
      </w:r>
      <w:r>
        <w:rPr>
          <w:rFonts w:hint="eastAsia"/>
        </w:rPr>
        <w:t>进行修复，考古遗址的历史和科学价值则完全依赖于调查原址中的原始材料的能力，这使得考古遗址与其他所有类型的遗产地区分开来。</w:t>
      </w:r>
    </w:p>
    <w:p w14:paraId="4A26D0D0" w14:textId="77777777" w:rsidR="00B36C21" w:rsidRPr="006842DC" w:rsidRDefault="00675E2A" w:rsidP="006842DC">
      <w:pPr>
        <w:ind w:firstLineChars="200" w:firstLine="480"/>
      </w:pPr>
      <w:r>
        <w:rPr>
          <w:rFonts w:hint="eastAsia"/>
        </w:rPr>
        <w:t>参观考古遗址可以广泛的推进</w:t>
      </w:r>
      <w:r w:rsidR="00D0030E">
        <w:rPr>
          <w:rFonts w:hint="eastAsia"/>
        </w:rPr>
        <w:t>与遗产相关的收益</w:t>
      </w:r>
      <w:r w:rsidR="004A4C35">
        <w:rPr>
          <w:rFonts w:hint="eastAsia"/>
        </w:rPr>
        <w:t>，包括社会的、经济的和文化的。</w:t>
      </w:r>
      <w:r w:rsidR="008D744E">
        <w:rPr>
          <w:rFonts w:hint="eastAsia"/>
        </w:rPr>
        <w:t>向公众开放</w:t>
      </w:r>
      <w:r w:rsidR="004A4C35">
        <w:rPr>
          <w:rFonts w:hint="eastAsia"/>
        </w:rPr>
        <w:t>、用心展示的遗产能够增强我们对人与自然之间现有关系的理解，</w:t>
      </w:r>
      <w:r w:rsidR="004A4C35" w:rsidRPr="00BC4560">
        <w:rPr>
          <w:rFonts w:hint="eastAsia"/>
        </w:rPr>
        <w:t>也能增强对人类自我组织及与其他群体互动</w:t>
      </w:r>
      <w:r w:rsidR="00BC4560" w:rsidRPr="00BC4560">
        <w:rPr>
          <w:rFonts w:hint="eastAsia"/>
        </w:rPr>
        <w:t>方式</w:t>
      </w:r>
      <w:r w:rsidR="004A4C35" w:rsidRPr="00BC4560">
        <w:rPr>
          <w:rFonts w:hint="eastAsia"/>
        </w:rPr>
        <w:t>的普遍</w:t>
      </w:r>
      <w:r w:rsidR="00BC4560" w:rsidRPr="00BC4560">
        <w:rPr>
          <w:rFonts w:hint="eastAsia"/>
        </w:rPr>
        <w:t>性</w:t>
      </w:r>
      <w:r w:rsidR="004A4C35" w:rsidRPr="00BC4560">
        <w:rPr>
          <w:rFonts w:hint="eastAsia"/>
        </w:rPr>
        <w:t>和多样</w:t>
      </w:r>
      <w:r w:rsidR="00BC4560" w:rsidRPr="00BC4560">
        <w:rPr>
          <w:rFonts w:hint="eastAsia"/>
        </w:rPr>
        <w:t>性</w:t>
      </w:r>
      <w:r w:rsidR="004A4C35" w:rsidRPr="00BC4560">
        <w:rPr>
          <w:rFonts w:hint="eastAsia"/>
        </w:rPr>
        <w:t>的理解</w:t>
      </w:r>
      <w:r w:rsidR="004A4C35">
        <w:rPr>
          <w:rFonts w:hint="eastAsia"/>
        </w:rPr>
        <w:t>。这些都是</w:t>
      </w:r>
      <w:r w:rsidR="004A4C35" w:rsidRPr="00BC4560">
        <w:rPr>
          <w:rFonts w:hint="eastAsia"/>
        </w:rPr>
        <w:t>当今的核心议题</w:t>
      </w:r>
      <w:r w:rsidR="004A4C35">
        <w:rPr>
          <w:rFonts w:hint="eastAsia"/>
        </w:rPr>
        <w:t>。遗产在构建集体认同方面具有基础作用。</w:t>
      </w:r>
      <w:r>
        <w:rPr>
          <w:rFonts w:hint="eastAsia"/>
        </w:rPr>
        <w:t>在</w:t>
      </w:r>
      <w:r w:rsidR="004A4C35" w:rsidRPr="00BC4560">
        <w:rPr>
          <w:rFonts w:hint="eastAsia"/>
        </w:rPr>
        <w:t>遗产被以有利于某个特定群体的方式进行特权</w:t>
      </w:r>
      <w:r w:rsidR="00F839DC">
        <w:rPr>
          <w:rFonts w:hint="eastAsia"/>
        </w:rPr>
        <w:t>叙事时</w:t>
      </w:r>
      <w:r w:rsidR="00BC4560">
        <w:rPr>
          <w:rFonts w:hint="eastAsia"/>
        </w:rPr>
        <w:t>，根据考古调查及其实物证据进行</w:t>
      </w:r>
      <w:r w:rsidR="004A4C35" w:rsidRPr="00BC4560">
        <w:rPr>
          <w:rFonts w:hint="eastAsia"/>
        </w:rPr>
        <w:t>的遗产研究能够</w:t>
      </w:r>
      <w:r w:rsidR="00BC4560" w:rsidRPr="00BC4560">
        <w:rPr>
          <w:rFonts w:hint="eastAsia"/>
        </w:rPr>
        <w:t>恰如其分地</w:t>
      </w:r>
      <w:r w:rsidR="004A4C35" w:rsidRPr="00BC4560">
        <w:rPr>
          <w:rFonts w:hint="eastAsia"/>
        </w:rPr>
        <w:t>挑战这些叙事。</w:t>
      </w:r>
    </w:p>
    <w:p w14:paraId="4E258B5C" w14:textId="77777777" w:rsidR="00EF6C4F" w:rsidRPr="00DD23A8" w:rsidRDefault="008D744E" w:rsidP="00EF6C4F">
      <w:pPr>
        <w:ind w:firstLineChars="200" w:firstLine="480"/>
        <w:rPr>
          <w:color w:val="FF0000"/>
        </w:rPr>
      </w:pPr>
      <w:r>
        <w:rPr>
          <w:rFonts w:hint="eastAsia"/>
        </w:rPr>
        <w:t>向公众开放</w:t>
      </w:r>
      <w:r w:rsidR="004A4C35">
        <w:rPr>
          <w:rFonts w:hint="eastAsia"/>
        </w:rPr>
        <w:t>的考古遗址既能以可持续的也能以不可持续的方式产生经济效益。</w:t>
      </w:r>
      <w:r>
        <w:rPr>
          <w:rFonts w:hint="eastAsia"/>
        </w:rPr>
        <w:t>向公众开放</w:t>
      </w:r>
      <w:r w:rsidR="004A4C35">
        <w:rPr>
          <w:rFonts w:hint="eastAsia"/>
        </w:rPr>
        <w:t>的考古遗址的可持续管理要求了解公众的参观和体验是如何与促进该遗址保护联系起来的。可持续管理还要求清晰地确定</w:t>
      </w:r>
      <w:r w:rsidR="00FA07FB">
        <w:rPr>
          <w:rFonts w:hint="eastAsia"/>
        </w:rPr>
        <w:t>向公众</w:t>
      </w:r>
      <w:r w:rsidR="00FA07FB" w:rsidRPr="00FA07FB">
        <w:rPr>
          <w:rFonts w:hint="eastAsia"/>
        </w:rPr>
        <w:t>开放</w:t>
      </w:r>
      <w:r w:rsidR="004A4C35" w:rsidRPr="00FA07FB">
        <w:rPr>
          <w:rFonts w:hint="eastAsia"/>
        </w:rPr>
        <w:t>的发展</w:t>
      </w:r>
      <w:r w:rsidR="00130A5F">
        <w:rPr>
          <w:rFonts w:hint="eastAsia"/>
        </w:rPr>
        <w:t>可能会以何种方式伤害该遗址。</w:t>
      </w:r>
      <w:r w:rsidR="00130A5F" w:rsidRPr="00494039">
        <w:rPr>
          <w:rFonts w:hint="eastAsia"/>
        </w:rPr>
        <w:t>顾名思义，</w:t>
      </w:r>
      <w:r w:rsidR="00130A5F" w:rsidRPr="008E6DC3">
        <w:rPr>
          <w:rFonts w:hint="eastAsia"/>
        </w:rPr>
        <w:t>不可持续的利用在</w:t>
      </w:r>
      <w:r w:rsidR="004A4C35" w:rsidRPr="008E6DC3">
        <w:rPr>
          <w:rFonts w:hint="eastAsia"/>
        </w:rPr>
        <w:t>遗址</w:t>
      </w:r>
      <w:r w:rsidR="00130A5F" w:rsidRPr="008E6DC3">
        <w:rPr>
          <w:rFonts w:hint="eastAsia"/>
        </w:rPr>
        <w:t>保护上妥协</w:t>
      </w:r>
      <w:r w:rsidR="004A4C35" w:rsidRPr="008E6DC3">
        <w:rPr>
          <w:rFonts w:hint="eastAsia"/>
        </w:rPr>
        <w:t>，</w:t>
      </w:r>
      <w:r w:rsidR="004A4C35" w:rsidRPr="00494039">
        <w:rPr>
          <w:rFonts w:hint="eastAsia"/>
        </w:rPr>
        <w:t>也损害了以一种尽可能公正，因而也是</w:t>
      </w:r>
      <w:r w:rsidR="00FA07FB" w:rsidRPr="00494039">
        <w:rPr>
          <w:rFonts w:hint="eastAsia"/>
        </w:rPr>
        <w:t>有效</w:t>
      </w:r>
      <w:r w:rsidR="00EF6C4F" w:rsidRPr="00494039">
        <w:rPr>
          <w:rFonts w:hint="eastAsia"/>
        </w:rPr>
        <w:t>的方式来呈现人类历史的努力。</w:t>
      </w:r>
    </w:p>
    <w:p w14:paraId="1160336C" w14:textId="77777777" w:rsidR="00B36C21" w:rsidRDefault="008E05D4" w:rsidP="001C3624">
      <w:pPr>
        <w:ind w:firstLineChars="200" w:firstLine="480"/>
      </w:pPr>
      <w:r>
        <w:rPr>
          <w:rFonts w:hint="eastAsia"/>
        </w:rPr>
        <w:lastRenderedPageBreak/>
        <w:t>本</w:t>
      </w:r>
      <w:r w:rsidR="004A4C35">
        <w:rPr>
          <w:rFonts w:hint="eastAsia"/>
        </w:rPr>
        <w:t>指南旨在面向所有</w:t>
      </w:r>
      <w:r>
        <w:rPr>
          <w:rFonts w:hint="eastAsia"/>
        </w:rPr>
        <w:t>对</w:t>
      </w:r>
      <w:r w:rsidR="008D744E">
        <w:rPr>
          <w:rFonts w:hint="eastAsia"/>
        </w:rPr>
        <w:t>公众开放</w:t>
      </w:r>
      <w:r w:rsidR="004A4C35">
        <w:rPr>
          <w:rFonts w:hint="eastAsia"/>
        </w:rPr>
        <w:t>的考古遗址，但它们与世界遗产中的</w:t>
      </w:r>
      <w:r>
        <w:rPr>
          <w:rFonts w:hint="eastAsia"/>
        </w:rPr>
        <w:t>此类</w:t>
      </w:r>
      <w:r w:rsidR="004A4C35">
        <w:rPr>
          <w:rFonts w:hint="eastAsia"/>
        </w:rPr>
        <w:t>遗址</w:t>
      </w:r>
      <w:r>
        <w:rPr>
          <w:rFonts w:hint="eastAsia"/>
        </w:rPr>
        <w:t>尤其相关。列入《世界遗产名录》所产生的声誉促使游客</w:t>
      </w:r>
      <w:r w:rsidR="004A4C35">
        <w:rPr>
          <w:rFonts w:hint="eastAsia"/>
        </w:rPr>
        <w:t>参观</w:t>
      </w:r>
      <w:r>
        <w:rPr>
          <w:rFonts w:hint="eastAsia"/>
        </w:rPr>
        <w:t>量增加，并</w:t>
      </w:r>
      <w:r w:rsidR="004A4C35">
        <w:rPr>
          <w:rFonts w:hint="eastAsia"/>
        </w:rPr>
        <w:t>能促进当地经济的重大发展。</w:t>
      </w:r>
    </w:p>
    <w:p w14:paraId="32A17866" w14:textId="77777777" w:rsidR="00945FB8" w:rsidRDefault="004A4C35" w:rsidP="00EF6C4F">
      <w:pPr>
        <w:ind w:firstLine="480"/>
      </w:pPr>
      <w:r>
        <w:rPr>
          <w:rFonts w:hint="eastAsia"/>
        </w:rPr>
        <w:t>列入《世界遗产名录》的每一个遗产地都包含</w:t>
      </w:r>
      <w:r w:rsidR="00A27A30">
        <w:rPr>
          <w:rFonts w:hint="eastAsia"/>
        </w:rPr>
        <w:t>具有考古</w:t>
      </w:r>
      <w:r>
        <w:rPr>
          <w:rFonts w:hint="eastAsia"/>
        </w:rPr>
        <w:t>研究</w:t>
      </w:r>
      <w:r w:rsidR="00A27A30">
        <w:rPr>
          <w:rFonts w:hint="eastAsia"/>
        </w:rPr>
        <w:t>价值</w:t>
      </w:r>
      <w:r>
        <w:rPr>
          <w:rFonts w:hint="eastAsia"/>
        </w:rPr>
        <w:t>的</w:t>
      </w:r>
      <w:r w:rsidRPr="00E43473">
        <w:rPr>
          <w:rFonts w:hint="eastAsia"/>
        </w:rPr>
        <w:t>物质遗存</w:t>
      </w:r>
      <w:r w:rsidR="00A27A30">
        <w:rPr>
          <w:rFonts w:hint="eastAsia"/>
        </w:rPr>
        <w:t>。世界遗产地包括了历史城市，它们都包含</w:t>
      </w:r>
      <w:r>
        <w:rPr>
          <w:rFonts w:hint="eastAsia"/>
        </w:rPr>
        <w:t>更早期的“城</w:t>
      </w:r>
      <w:r w:rsidR="00A27A30">
        <w:rPr>
          <w:rFonts w:hint="eastAsia"/>
        </w:rPr>
        <w:t>下之城”的考古遗存。由于自然资源的突出普遍价值而被列入名录的</w:t>
      </w:r>
      <w:r>
        <w:rPr>
          <w:rFonts w:hint="eastAsia"/>
        </w:rPr>
        <w:t>世界遗产地，也存在考古遗存。相对晚近的、被认为是天才的建筑或工</w:t>
      </w:r>
      <w:r w:rsidR="00A27A30">
        <w:rPr>
          <w:rFonts w:hint="eastAsia"/>
        </w:rPr>
        <w:t>程作品的建造物和景观也是考古学和相关学科的研究范畴。所有这些类型</w:t>
      </w:r>
      <w:r>
        <w:rPr>
          <w:rFonts w:hint="eastAsia"/>
        </w:rPr>
        <w:t>遗产地中的考古遗存，如果</w:t>
      </w:r>
      <w:r w:rsidR="00A27A30">
        <w:rPr>
          <w:rFonts w:hint="eastAsia"/>
        </w:rPr>
        <w:t>加以</w:t>
      </w:r>
      <w:r>
        <w:rPr>
          <w:rFonts w:hint="eastAsia"/>
        </w:rPr>
        <w:t>适当研究，都能产生</w:t>
      </w:r>
      <w:r w:rsidR="00A27A30">
        <w:rPr>
          <w:rFonts w:hint="eastAsia"/>
        </w:rPr>
        <w:t>丰富</w:t>
      </w:r>
      <w:r>
        <w:rPr>
          <w:rFonts w:hint="eastAsia"/>
        </w:rPr>
        <w:t>详</w:t>
      </w:r>
      <w:r w:rsidR="00A27A30">
        <w:rPr>
          <w:rFonts w:hint="eastAsia"/>
        </w:rPr>
        <w:t>细</w:t>
      </w:r>
      <w:r>
        <w:rPr>
          <w:rFonts w:hint="eastAsia"/>
        </w:rPr>
        <w:t>、</w:t>
      </w:r>
      <w:r w:rsidR="00A27A30">
        <w:rPr>
          <w:rFonts w:hint="eastAsia"/>
        </w:rPr>
        <w:t>引人入胜</w:t>
      </w:r>
      <w:r>
        <w:rPr>
          <w:rFonts w:hint="eastAsia"/>
        </w:rPr>
        <w:t>的</w:t>
      </w:r>
      <w:r w:rsidRPr="00E43473">
        <w:rPr>
          <w:rFonts w:hint="eastAsia"/>
        </w:rPr>
        <w:t>发现</w:t>
      </w:r>
      <w:r>
        <w:rPr>
          <w:rFonts w:hint="eastAsia"/>
        </w:rPr>
        <w:t>，加深对该遗产地的理解。考古学以一种与我们当今生活密切相关的形式揭示了人类历史和人类过去的经验，包括人类冲突导致的社会和经济后果的证据、对环境过度利用后果的见证等。考古遗存作为历史信息的一种关键载体，它的保存可能在</w:t>
      </w:r>
      <w:r w:rsidR="008D744E">
        <w:rPr>
          <w:rFonts w:hint="eastAsia"/>
        </w:rPr>
        <w:t>向公众开放</w:t>
      </w:r>
      <w:r>
        <w:rPr>
          <w:rFonts w:hint="eastAsia"/>
        </w:rPr>
        <w:t>的遗址上</w:t>
      </w:r>
      <w:r w:rsidR="00170A9F">
        <w:rPr>
          <w:rFonts w:hint="eastAsia"/>
        </w:rPr>
        <w:t>显得尤其</w:t>
      </w:r>
      <w:r>
        <w:rPr>
          <w:rFonts w:hint="eastAsia"/>
        </w:rPr>
        <w:t>重要，</w:t>
      </w:r>
      <w:r w:rsidRPr="00E43473">
        <w:rPr>
          <w:rFonts w:hint="eastAsia"/>
        </w:rPr>
        <w:t>因</w:t>
      </w:r>
      <w:r w:rsidR="00170A9F">
        <w:rPr>
          <w:rFonts w:hint="eastAsia"/>
        </w:rPr>
        <w:t>为科学研究能够激活和显著增加该遗址</w:t>
      </w:r>
      <w:r w:rsidR="00E43473" w:rsidRPr="00E43473">
        <w:rPr>
          <w:rFonts w:hint="eastAsia"/>
        </w:rPr>
        <w:t>已有</w:t>
      </w:r>
      <w:r w:rsidR="00170A9F">
        <w:rPr>
          <w:rFonts w:hint="eastAsia"/>
        </w:rPr>
        <w:t>的</w:t>
      </w:r>
      <w:r w:rsidRPr="00E43473">
        <w:rPr>
          <w:rFonts w:hint="eastAsia"/>
        </w:rPr>
        <w:t>知识和</w:t>
      </w:r>
      <w:r w:rsidR="00E43473" w:rsidRPr="00E43473">
        <w:rPr>
          <w:rFonts w:hint="eastAsia"/>
        </w:rPr>
        <w:t>内涵</w:t>
      </w:r>
      <w:r w:rsidR="00170A9F">
        <w:rPr>
          <w:rFonts w:hint="eastAsia"/>
        </w:rPr>
        <w:t>。而且，所有世界遗产地，拥有着突出普遍价值、非凡的特质</w:t>
      </w:r>
      <w:r>
        <w:rPr>
          <w:rFonts w:hint="eastAsia"/>
        </w:rPr>
        <w:t>和</w:t>
      </w:r>
      <w:r w:rsidR="00170A9F">
        <w:rPr>
          <w:rFonts w:hint="eastAsia"/>
        </w:rPr>
        <w:t>来自</w:t>
      </w:r>
      <w:r>
        <w:rPr>
          <w:rFonts w:hint="eastAsia"/>
        </w:rPr>
        <w:t>全球的关注，</w:t>
      </w:r>
      <w:r w:rsidR="00170A9F">
        <w:rPr>
          <w:rFonts w:hint="eastAsia"/>
        </w:rPr>
        <w:t>更</w:t>
      </w:r>
      <w:r>
        <w:rPr>
          <w:rFonts w:hint="eastAsia"/>
        </w:rPr>
        <w:t>应该成为可持续管理的范例。</w:t>
      </w:r>
    </w:p>
    <w:p w14:paraId="7794A370" w14:textId="77777777" w:rsidR="004A62C4" w:rsidRDefault="004A62C4" w:rsidP="00EF6C4F">
      <w:pPr>
        <w:ind w:firstLine="480"/>
      </w:pPr>
    </w:p>
    <w:p w14:paraId="1C4EFD58" w14:textId="77777777" w:rsidR="00B36C21" w:rsidRDefault="004A4C35" w:rsidP="001C6F90">
      <w:pPr>
        <w:pStyle w:val="1"/>
        <w:spacing w:beforeLines="50" w:before="163"/>
      </w:pPr>
      <w:r>
        <w:rPr>
          <w:rFonts w:hint="eastAsia"/>
        </w:rPr>
        <w:t>指南的必要性</w:t>
      </w:r>
    </w:p>
    <w:p w14:paraId="1D59E3F9" w14:textId="77777777" w:rsidR="00B36C21" w:rsidRDefault="004A4C35" w:rsidP="001C6F90">
      <w:pPr>
        <w:spacing w:beforeLines="50" w:before="163"/>
        <w:ind w:firstLineChars="200" w:firstLine="480"/>
      </w:pPr>
      <w:r>
        <w:rPr>
          <w:rFonts w:hint="eastAsia"/>
        </w:rPr>
        <w:t>这些指南清晰地表达了一种</w:t>
      </w:r>
      <w:r w:rsidR="0023384B">
        <w:rPr>
          <w:rFonts w:hint="eastAsia"/>
        </w:rPr>
        <w:t>必要</w:t>
      </w:r>
      <w:r w:rsidR="00136059">
        <w:rPr>
          <w:rFonts w:hint="eastAsia"/>
        </w:rPr>
        <w:t>性</w:t>
      </w:r>
      <w:r>
        <w:rPr>
          <w:rFonts w:hint="eastAsia"/>
        </w:rPr>
        <w:t>，</w:t>
      </w:r>
      <w:r w:rsidR="00136059">
        <w:rPr>
          <w:rFonts w:hint="eastAsia"/>
        </w:rPr>
        <w:t>即相比起评估一个地方值得公众关心和关注的理由</w:t>
      </w:r>
      <w:r w:rsidRPr="009B0BA5">
        <w:rPr>
          <w:rFonts w:hint="eastAsia"/>
        </w:rPr>
        <w:t>是否恰当，</w:t>
      </w:r>
      <w:r w:rsidR="00136059">
        <w:rPr>
          <w:rFonts w:hint="eastAsia"/>
        </w:rPr>
        <w:t>应以相同的，在某些情况下甚至更多的关注和时间、金钱的投入</w:t>
      </w:r>
      <w:r>
        <w:rPr>
          <w:rFonts w:hint="eastAsia"/>
        </w:rPr>
        <w:t>，来评估建立</w:t>
      </w:r>
      <w:r w:rsidR="008D744E">
        <w:rPr>
          <w:rFonts w:hint="eastAsia"/>
        </w:rPr>
        <w:t>向公众开放</w:t>
      </w:r>
      <w:r w:rsidR="00136059">
        <w:rPr>
          <w:rFonts w:hint="eastAsia"/>
        </w:rPr>
        <w:t>的考古遗址的可持续</w:t>
      </w:r>
      <w:r>
        <w:rPr>
          <w:rFonts w:hint="eastAsia"/>
        </w:rPr>
        <w:t>管理的可行性。</w:t>
      </w:r>
      <w:r w:rsidR="00136059">
        <w:rPr>
          <w:rFonts w:hint="eastAsia"/>
        </w:rPr>
        <w:t>对</w:t>
      </w:r>
      <w:r>
        <w:rPr>
          <w:rFonts w:hint="eastAsia"/>
        </w:rPr>
        <w:t>处理与世界遗产地管理相关的大量问题</w:t>
      </w:r>
      <w:r w:rsidR="00136059">
        <w:rPr>
          <w:rFonts w:hint="eastAsia"/>
        </w:rPr>
        <w:t>，已存在很多有用的文件</w:t>
      </w:r>
      <w:r>
        <w:rPr>
          <w:rFonts w:hint="eastAsia"/>
        </w:rPr>
        <w:t>。由于它们是世界范围内的，</w:t>
      </w:r>
      <w:r w:rsidR="00136059">
        <w:rPr>
          <w:rFonts w:hint="eastAsia"/>
        </w:rPr>
        <w:t>因此对本指南要实现的</w:t>
      </w:r>
      <w:r w:rsidRPr="009B0BA5">
        <w:rPr>
          <w:rFonts w:hint="eastAsia"/>
        </w:rPr>
        <w:t>目的而言</w:t>
      </w:r>
      <w:r w:rsidR="00136059">
        <w:rPr>
          <w:rFonts w:hint="eastAsia"/>
        </w:rPr>
        <w:t>也</w:t>
      </w:r>
      <w:r w:rsidRPr="009B0BA5">
        <w:rPr>
          <w:rFonts w:hint="eastAsia"/>
        </w:rPr>
        <w:t>都是有用的</w:t>
      </w:r>
      <w:r w:rsidR="00136059">
        <w:rPr>
          <w:rFonts w:hint="eastAsia"/>
        </w:rPr>
        <w:t>，并且其中一些和考古遗址相关。然而，本</w:t>
      </w:r>
      <w:r>
        <w:rPr>
          <w:rFonts w:hint="eastAsia"/>
        </w:rPr>
        <w:t>指南是专门应用于所有</w:t>
      </w:r>
      <w:r w:rsidR="008D744E">
        <w:rPr>
          <w:rFonts w:hint="eastAsia"/>
        </w:rPr>
        <w:t>向公众开放</w:t>
      </w:r>
      <w:r>
        <w:rPr>
          <w:rFonts w:hint="eastAsia"/>
        </w:rPr>
        <w:t>的考古遗址的。这些遗址中，有的考古遗址本身就是《世界遗产名录》中的，还有一些可能被列入名录中（即《世界遗产公约》缔约国设立的《世界遗产预备名录》上的遗址）。《世界遗产名录》上的遗址应提供能够在其他地区适用的可持续管</w:t>
      </w:r>
      <w:r w:rsidR="00136059">
        <w:rPr>
          <w:rFonts w:hint="eastAsia"/>
        </w:rPr>
        <w:t>理模式。它们能示范如何建立机构和制定方案来保护所有文化和自然遗产地，以</w:t>
      </w:r>
      <w:r>
        <w:rPr>
          <w:rFonts w:hint="eastAsia"/>
        </w:rPr>
        <w:t>符合《世界遗产公约》第五章阐述的目标。</w:t>
      </w:r>
    </w:p>
    <w:p w14:paraId="1C8B9A7B" w14:textId="77777777" w:rsidR="00B36C21" w:rsidRDefault="004A4C35">
      <w:pPr>
        <w:ind w:firstLineChars="200" w:firstLine="480"/>
      </w:pPr>
      <w:r>
        <w:rPr>
          <w:rFonts w:hint="eastAsia"/>
        </w:rPr>
        <w:t>就恰当性而言，《世界遗产名录》上许多最著名的和标志性的遗址，包括但不限于佩特拉、马丘比丘、吴哥和庞贝都是世界遗产</w:t>
      </w:r>
      <w:r w:rsidRPr="00120C1A">
        <w:rPr>
          <w:rFonts w:hint="eastAsia"/>
        </w:rPr>
        <w:t>名单</w:t>
      </w:r>
      <w:r>
        <w:rPr>
          <w:rFonts w:hint="eastAsia"/>
        </w:rPr>
        <w:t>上明显的选项。它们都无可置疑地符合一个或多个《实施世界遗产公约操作指南》中设置的标准，并且它们都拥有突出普遍价值。然而，</w:t>
      </w:r>
      <w:r w:rsidR="00517015">
        <w:rPr>
          <w:rFonts w:hint="eastAsia"/>
        </w:rPr>
        <w:t>列入的影响和列入后可持续管理</w:t>
      </w:r>
      <w:r>
        <w:rPr>
          <w:rFonts w:hint="eastAsia"/>
        </w:rPr>
        <w:t>的可行性在</w:t>
      </w:r>
      <w:r w:rsidR="00120C1A" w:rsidRPr="00120C1A">
        <w:rPr>
          <w:rFonts w:hint="eastAsia"/>
        </w:rPr>
        <w:t>列入时</w:t>
      </w:r>
      <w:r w:rsidR="00517015">
        <w:rPr>
          <w:rFonts w:hint="eastAsia"/>
        </w:rPr>
        <w:t>并没有被</w:t>
      </w:r>
      <w:r>
        <w:rPr>
          <w:rFonts w:hint="eastAsia"/>
        </w:rPr>
        <w:t>充分理解。</w:t>
      </w:r>
      <w:r w:rsidR="00517015">
        <w:rPr>
          <w:rFonts w:hint="eastAsia"/>
        </w:rPr>
        <w:t>之后更多的世界遗产申报项目</w:t>
      </w:r>
      <w:r w:rsidRPr="00120C1A">
        <w:rPr>
          <w:rFonts w:hint="eastAsia"/>
        </w:rPr>
        <w:t>，</w:t>
      </w:r>
      <w:r w:rsidR="00120C1A" w:rsidRPr="00120C1A">
        <w:rPr>
          <w:rFonts w:hint="eastAsia"/>
        </w:rPr>
        <w:t>依然没有</w:t>
      </w:r>
      <w:r w:rsidR="00517015">
        <w:rPr>
          <w:rFonts w:hint="eastAsia"/>
        </w:rPr>
        <w:t>充分的管理可行性研究来指导申报</w:t>
      </w:r>
      <w:r w:rsidRPr="00120C1A">
        <w:rPr>
          <w:rFonts w:hint="eastAsia"/>
        </w:rPr>
        <w:t>材料的准备。</w:t>
      </w:r>
      <w:r>
        <w:rPr>
          <w:rFonts w:hint="eastAsia"/>
        </w:rPr>
        <w:t>在尚未制定可持续</w:t>
      </w:r>
      <w:r w:rsidR="00E53344">
        <w:rPr>
          <w:rFonts w:hint="eastAsia"/>
        </w:rPr>
        <w:t>管理的可行框架的情况下，申报</w:t>
      </w:r>
      <w:r>
        <w:rPr>
          <w:rFonts w:hint="eastAsia"/>
        </w:rPr>
        <w:t>遗产地的突出普遍价值，包括其完整性和真实性就是脆弱的。实际上，管理本身也是突出普遍价值的重要支撑之一。考古遗址</w:t>
      </w:r>
      <w:r w:rsidR="008D744E">
        <w:rPr>
          <w:rFonts w:hint="eastAsia"/>
        </w:rPr>
        <w:t>向公众开放</w:t>
      </w:r>
      <w:r>
        <w:rPr>
          <w:rFonts w:hint="eastAsia"/>
        </w:rPr>
        <w:t>前忽</w:t>
      </w:r>
      <w:r w:rsidR="00E53344">
        <w:rPr>
          <w:rFonts w:hint="eastAsia"/>
        </w:rPr>
        <w:t>视实施可持续管理的可行性只会导致这座科学和历史信息宝库的损耗和</w:t>
      </w:r>
      <w:r>
        <w:rPr>
          <w:rFonts w:hint="eastAsia"/>
        </w:rPr>
        <w:t>遗址参观体验的降级。</w:t>
      </w:r>
    </w:p>
    <w:p w14:paraId="32B21E0D" w14:textId="77777777" w:rsidR="00EF6C4F" w:rsidRDefault="004A4C35" w:rsidP="00EF6C4F">
      <w:pPr>
        <w:ind w:firstLineChars="200" w:firstLine="480"/>
      </w:pPr>
      <w:r>
        <w:rPr>
          <w:rFonts w:hint="eastAsia"/>
        </w:rPr>
        <w:t>在遗产地</w:t>
      </w:r>
      <w:r w:rsidR="008D744E">
        <w:rPr>
          <w:rFonts w:hint="eastAsia"/>
        </w:rPr>
        <w:t>向公众开放</w:t>
      </w:r>
      <w:r>
        <w:rPr>
          <w:rFonts w:hint="eastAsia"/>
        </w:rPr>
        <w:t>以后迅速地建立</w:t>
      </w:r>
      <w:r w:rsidR="00C147AA">
        <w:rPr>
          <w:rFonts w:hint="eastAsia"/>
        </w:rPr>
        <w:t>一套</w:t>
      </w:r>
      <w:r>
        <w:rPr>
          <w:rFonts w:hint="eastAsia"/>
        </w:rPr>
        <w:t>管理系统是一项艰巨的任务，特别是当开放导致游客</w:t>
      </w:r>
      <w:r w:rsidR="00C147AA">
        <w:rPr>
          <w:rFonts w:hint="eastAsia"/>
        </w:rPr>
        <w:t>数量显著增长时</w:t>
      </w:r>
      <w:r>
        <w:rPr>
          <w:rFonts w:hint="eastAsia"/>
        </w:rPr>
        <w:t>（这在遗产地被列入《世界遗产名录》时很常见）。缺乏区域规划和</w:t>
      </w:r>
      <w:r w:rsidR="00C147AA">
        <w:rPr>
          <w:rFonts w:hint="eastAsia"/>
        </w:rPr>
        <w:t>对区划的当地社区支持</w:t>
      </w:r>
      <w:r>
        <w:rPr>
          <w:rFonts w:hint="eastAsia"/>
        </w:rPr>
        <w:t>，遗产地内部和周边的发展</w:t>
      </w:r>
      <w:r w:rsidR="00B07FC9">
        <w:rPr>
          <w:rFonts w:hint="eastAsia"/>
        </w:rPr>
        <w:t>对环境的破坏</w:t>
      </w:r>
      <w:r>
        <w:rPr>
          <w:rFonts w:hint="eastAsia"/>
        </w:rPr>
        <w:t>是很普遍的，且通常</w:t>
      </w:r>
      <w:r w:rsidR="00C147AA">
        <w:rPr>
          <w:rFonts w:hint="eastAsia"/>
        </w:rPr>
        <w:t>也会对遗址本身造成</w:t>
      </w:r>
      <w:r>
        <w:rPr>
          <w:rFonts w:hint="eastAsia"/>
        </w:rPr>
        <w:t>破坏。这种情况会非常迅速地发生，且破</w:t>
      </w:r>
      <w:r w:rsidR="00C147AA">
        <w:rPr>
          <w:rFonts w:hint="eastAsia"/>
        </w:rPr>
        <w:t>坏可能是不可逆的。一旦发生，不恰当占据遗产地的</w:t>
      </w:r>
      <w:r>
        <w:rPr>
          <w:rFonts w:hint="eastAsia"/>
        </w:rPr>
        <w:t>建</w:t>
      </w:r>
      <w:r w:rsidR="00C147AA">
        <w:rPr>
          <w:rFonts w:hint="eastAsia"/>
        </w:rPr>
        <w:t>筑和居民</w:t>
      </w:r>
      <w:r w:rsidR="00A66968">
        <w:rPr>
          <w:rFonts w:hint="eastAsia"/>
        </w:rPr>
        <w:t>已被证明几乎不可能</w:t>
      </w:r>
      <w:r w:rsidR="00C147AA">
        <w:rPr>
          <w:rFonts w:hint="eastAsia"/>
        </w:rPr>
        <w:t>再被</w:t>
      </w:r>
      <w:r w:rsidR="001B42BA">
        <w:rPr>
          <w:rFonts w:hint="eastAsia"/>
        </w:rPr>
        <w:t>迁移。如同时还存在必要的技术、规定、管理、人员和</w:t>
      </w:r>
      <w:r>
        <w:rPr>
          <w:rFonts w:hint="eastAsia"/>
        </w:rPr>
        <w:t>财政资源</w:t>
      </w:r>
      <w:r w:rsidR="001B42BA">
        <w:rPr>
          <w:rFonts w:hint="eastAsia"/>
        </w:rPr>
        <w:t>的匮乏，这些问题将会加剧。结果通常对所有利益相关者都是差强人意的。</w:t>
      </w:r>
    </w:p>
    <w:p w14:paraId="7637A97E" w14:textId="77777777" w:rsidR="00B36C21" w:rsidRDefault="00B2770B" w:rsidP="00EF6C4F">
      <w:pPr>
        <w:ind w:firstLineChars="200" w:firstLine="480"/>
      </w:pPr>
      <w:r>
        <w:rPr>
          <w:rFonts w:hint="eastAsia"/>
        </w:rPr>
        <w:t>这里所指的“可行性”依赖于利益相关者为遗产地的保存和保护对公众参观所需的设备和服务的发展进行恰当规划的能力。这需要以设计和实施有效</w:t>
      </w:r>
      <w:r w:rsidR="004A4C35">
        <w:rPr>
          <w:rFonts w:hint="eastAsia"/>
        </w:rPr>
        <w:t>的管理框架和系统为前提。首先，管理系统必须要建立在</w:t>
      </w:r>
      <w:r w:rsidR="00995790">
        <w:rPr>
          <w:rFonts w:hint="eastAsia"/>
        </w:rPr>
        <w:t>所有参与者对遗址充分</w:t>
      </w:r>
      <w:r w:rsidR="00CE2C26">
        <w:rPr>
          <w:rFonts w:hint="eastAsia"/>
        </w:rPr>
        <w:t>认识的基础上。它包括监测</w:t>
      </w:r>
      <w:r w:rsidR="004A4C35">
        <w:rPr>
          <w:rFonts w:hint="eastAsia"/>
        </w:rPr>
        <w:t>相关</w:t>
      </w:r>
      <w:r w:rsidR="00CE2C26">
        <w:rPr>
          <w:rFonts w:hint="eastAsia"/>
        </w:rPr>
        <w:t>的</w:t>
      </w:r>
      <w:r w:rsidR="004A4C35">
        <w:rPr>
          <w:rFonts w:hint="eastAsia"/>
        </w:rPr>
        <w:t>能力</w:t>
      </w:r>
      <w:r w:rsidR="00CE2C26">
        <w:rPr>
          <w:rFonts w:hint="eastAsia"/>
        </w:rPr>
        <w:t>建设，并有足以实施可持续管理的控制性计划</w:t>
      </w:r>
      <w:r w:rsidR="004A4C35">
        <w:rPr>
          <w:rFonts w:hint="eastAsia"/>
        </w:rPr>
        <w:t>或活动。管理的规划和实施应不仅</w:t>
      </w:r>
      <w:r w:rsidR="00BF790D">
        <w:rPr>
          <w:rFonts w:hint="eastAsia"/>
        </w:rPr>
        <w:t>只针对遗址本身，也应</w:t>
      </w:r>
      <w:r w:rsidR="00AB78BA">
        <w:rPr>
          <w:rFonts w:hint="eastAsia"/>
        </w:rPr>
        <w:t>将</w:t>
      </w:r>
      <w:r w:rsidR="00F461E6">
        <w:rPr>
          <w:rFonts w:hint="eastAsia"/>
        </w:rPr>
        <w:t>遗址周边环境和</w:t>
      </w:r>
      <w:r w:rsidR="0015229C">
        <w:rPr>
          <w:rFonts w:hint="eastAsia"/>
        </w:rPr>
        <w:t>计划开发游览区域</w:t>
      </w:r>
      <w:r w:rsidR="00AB78BA">
        <w:rPr>
          <w:rFonts w:hint="eastAsia"/>
        </w:rPr>
        <w:t>考虑在内</w:t>
      </w:r>
      <w:r w:rsidR="004A4C35">
        <w:rPr>
          <w:rFonts w:hint="eastAsia"/>
        </w:rPr>
        <w:t>。</w:t>
      </w:r>
    </w:p>
    <w:p w14:paraId="506E3FA2" w14:textId="77777777" w:rsidR="00B36C21" w:rsidRDefault="007A7CA6">
      <w:pPr>
        <w:ind w:firstLineChars="200" w:firstLine="480"/>
      </w:pPr>
      <w:r>
        <w:rPr>
          <w:rFonts w:hint="eastAsia"/>
        </w:rPr>
        <w:t>本</w:t>
      </w:r>
      <w:r w:rsidR="004A4C35">
        <w:rPr>
          <w:rFonts w:hint="eastAsia"/>
        </w:rPr>
        <w:t>指南</w:t>
      </w:r>
      <w:r w:rsidR="00BE6C4F">
        <w:rPr>
          <w:rFonts w:hint="eastAsia"/>
        </w:rPr>
        <w:t>为</w:t>
      </w:r>
      <w:r w:rsidR="004A4C35">
        <w:rPr>
          <w:rFonts w:hint="eastAsia"/>
        </w:rPr>
        <w:t>有效管理框架和系统的</w:t>
      </w:r>
      <w:r>
        <w:rPr>
          <w:rFonts w:hint="eastAsia"/>
        </w:rPr>
        <w:t>确立</w:t>
      </w:r>
      <w:r w:rsidR="004A4C35">
        <w:rPr>
          <w:rFonts w:hint="eastAsia"/>
        </w:rPr>
        <w:t>和</w:t>
      </w:r>
      <w:r w:rsidR="004A4C35" w:rsidRPr="00DC035D">
        <w:rPr>
          <w:rFonts w:hint="eastAsia"/>
        </w:rPr>
        <w:t>发展</w:t>
      </w:r>
      <w:r>
        <w:rPr>
          <w:rFonts w:hint="eastAsia"/>
        </w:rPr>
        <w:t>提供了一份路线图，也可对已有的管理框架和系统提供</w:t>
      </w:r>
      <w:r w:rsidR="004A4C35">
        <w:rPr>
          <w:rFonts w:hint="eastAsia"/>
        </w:rPr>
        <w:t>必要的改进。</w:t>
      </w:r>
    </w:p>
    <w:p w14:paraId="308C033E" w14:textId="77777777" w:rsidR="00B36C21" w:rsidRDefault="004A4C35" w:rsidP="00DC035D">
      <w:pPr>
        <w:ind w:firstLineChars="200" w:firstLine="480"/>
      </w:pPr>
      <w:r>
        <w:rPr>
          <w:rFonts w:hint="eastAsia"/>
        </w:rPr>
        <w:t>为</w:t>
      </w:r>
      <w:r w:rsidR="008D744E">
        <w:rPr>
          <w:rFonts w:hint="eastAsia"/>
        </w:rPr>
        <w:t>向公众开放</w:t>
      </w:r>
      <w:r>
        <w:rPr>
          <w:rFonts w:hint="eastAsia"/>
        </w:rPr>
        <w:t>的考古遗址的管理制定</w:t>
      </w:r>
      <w:r w:rsidR="00DC035D" w:rsidRPr="00945FB8">
        <w:rPr>
          <w:rFonts w:hint="eastAsia"/>
        </w:rPr>
        <w:t>公认的</w:t>
      </w:r>
      <w:r>
        <w:rPr>
          <w:rFonts w:hint="eastAsia"/>
        </w:rPr>
        <w:t>指南还有额外的战略价值。许多政府的和非营利发展协助项目可供申请，它们能为在可持续的经济发展方面寻求帮助的缔约国和机构提供资金。遵守已被认可的指南能够帮助这些项目的申请，并且为资金和技术支持的要求提供合理依据。为</w:t>
      </w:r>
      <w:r w:rsidR="008D744E">
        <w:rPr>
          <w:rFonts w:hint="eastAsia"/>
        </w:rPr>
        <w:t>向公众开放</w:t>
      </w:r>
      <w:r w:rsidR="00160312">
        <w:rPr>
          <w:rFonts w:hint="eastAsia"/>
        </w:rPr>
        <w:t>的考古遗址的可持续管理</w:t>
      </w:r>
      <w:r>
        <w:rPr>
          <w:rFonts w:hint="eastAsia"/>
        </w:rPr>
        <w:t>建立一个可行的多年计划</w:t>
      </w:r>
      <w:r w:rsidR="00DC035D">
        <w:rPr>
          <w:rFonts w:hint="eastAsia"/>
        </w:rPr>
        <w:t>，</w:t>
      </w:r>
      <w:r w:rsidRPr="00DC035D">
        <w:rPr>
          <w:rFonts w:hint="eastAsia"/>
        </w:rPr>
        <w:t>为有效发展提供了一个</w:t>
      </w:r>
      <w:r w:rsidR="000137A0">
        <w:rPr>
          <w:rFonts w:hint="eastAsia"/>
        </w:rPr>
        <w:t>结构</w:t>
      </w:r>
      <w:r>
        <w:rPr>
          <w:rFonts w:hint="eastAsia"/>
        </w:rPr>
        <w:t>。</w:t>
      </w:r>
    </w:p>
    <w:p w14:paraId="06652FC1" w14:textId="77777777" w:rsidR="00FF3CEE" w:rsidRDefault="00FF3CEE" w:rsidP="00DC035D">
      <w:pPr>
        <w:ind w:firstLineChars="200" w:firstLine="480"/>
      </w:pPr>
    </w:p>
    <w:p w14:paraId="72E5A480" w14:textId="77777777" w:rsidR="00B36C21" w:rsidRDefault="004A4C35">
      <w:pPr>
        <w:pStyle w:val="1"/>
      </w:pPr>
      <w:r>
        <w:rPr>
          <w:rFonts w:hint="eastAsia"/>
        </w:rPr>
        <w:lastRenderedPageBreak/>
        <w:t>前情</w:t>
      </w:r>
      <w:r>
        <w:rPr>
          <w:rFonts w:hint="eastAsia"/>
        </w:rPr>
        <w:t xml:space="preserve"> </w:t>
      </w:r>
    </w:p>
    <w:p w14:paraId="6EE4B4D7" w14:textId="77777777" w:rsidR="00B36C21" w:rsidRDefault="004A4C35">
      <w:pPr>
        <w:ind w:firstLine="480"/>
      </w:pPr>
      <w:r>
        <w:rPr>
          <w:rFonts w:hint="eastAsia"/>
        </w:rPr>
        <w:t>本文件吸取了国际古迹遗址理事会过去的工作成果</w:t>
      </w:r>
      <w:r w:rsidRPr="008E32A2">
        <w:rPr>
          <w:rFonts w:hint="eastAsia"/>
        </w:rPr>
        <w:t>，特别是</w:t>
      </w:r>
      <w:r w:rsidRPr="008E32A2">
        <w:rPr>
          <w:rFonts w:hint="eastAsia"/>
        </w:rPr>
        <w:t>2002</w:t>
      </w:r>
      <w:r w:rsidRPr="008E32A2">
        <w:rPr>
          <w:rFonts w:hint="eastAsia"/>
        </w:rPr>
        <w:t>年在马阿甘（</w:t>
      </w:r>
      <w:r w:rsidRPr="008E32A2">
        <w:rPr>
          <w:rFonts w:hint="eastAsia"/>
        </w:rPr>
        <w:t>Ma</w:t>
      </w:r>
      <w:r w:rsidRPr="008E32A2">
        <w:rPr>
          <w:rFonts w:hint="eastAsia"/>
        </w:rPr>
        <w:t>’</w:t>
      </w:r>
      <w:proofErr w:type="spellStart"/>
      <w:r w:rsidRPr="008E32A2">
        <w:rPr>
          <w:rFonts w:hint="eastAsia"/>
        </w:rPr>
        <w:t>agan</w:t>
      </w:r>
      <w:proofErr w:type="spellEnd"/>
      <w:r w:rsidRPr="008E32A2">
        <w:rPr>
          <w:rFonts w:hint="eastAsia"/>
        </w:rPr>
        <w:t>）所召开的会议，</w:t>
      </w:r>
      <w:r w:rsidR="008E32A2">
        <w:rPr>
          <w:rFonts w:hint="eastAsia"/>
        </w:rPr>
        <w:t>并</w:t>
      </w:r>
      <w:r w:rsidRPr="008E32A2">
        <w:rPr>
          <w:rFonts w:hint="eastAsia"/>
        </w:rPr>
        <w:t>充分尊重该会议的指导原则（</w:t>
      </w:r>
      <w:proofErr w:type="spellStart"/>
      <w:r w:rsidRPr="008E32A2">
        <w:rPr>
          <w:rFonts w:hint="eastAsia"/>
        </w:rPr>
        <w:t>Cleere</w:t>
      </w:r>
      <w:proofErr w:type="spellEnd"/>
      <w:r w:rsidRPr="008E32A2">
        <w:rPr>
          <w:rFonts w:hint="eastAsia"/>
        </w:rPr>
        <w:t xml:space="preserve"> 2010</w:t>
      </w:r>
      <w:r w:rsidRPr="008E32A2">
        <w:rPr>
          <w:rFonts w:hint="eastAsia"/>
        </w:rPr>
        <w:t>，</w:t>
      </w:r>
      <w:r w:rsidRPr="008E32A2">
        <w:rPr>
          <w:rFonts w:hint="eastAsia"/>
        </w:rPr>
        <w:t>5</w:t>
      </w:r>
      <w:r w:rsidRPr="008E32A2">
        <w:rPr>
          <w:rFonts w:hint="eastAsia"/>
        </w:rPr>
        <w:t>），</w:t>
      </w:r>
      <w:r>
        <w:rPr>
          <w:rFonts w:hint="eastAsia"/>
        </w:rPr>
        <w:t>该会议将以下因素作为全部管理规划的核心内容：</w:t>
      </w:r>
    </w:p>
    <w:p w14:paraId="56FA7D23" w14:textId="77777777" w:rsidR="00B36C21" w:rsidRDefault="00EF6C4F">
      <w:pPr>
        <w:ind w:firstLineChars="200" w:firstLine="480"/>
      </w:pPr>
      <w:r>
        <w:rPr>
          <w:rFonts w:hint="eastAsia"/>
        </w:rPr>
        <w:t>a</w:t>
      </w:r>
      <w:r w:rsidR="004A4C35">
        <w:rPr>
          <w:rFonts w:hint="eastAsia"/>
        </w:rPr>
        <w:t>）各利益</w:t>
      </w:r>
      <w:r w:rsidR="00CD7F8F">
        <w:rPr>
          <w:rFonts w:hint="eastAsia"/>
        </w:rPr>
        <w:t>相关方对遗产价值有全面的</w:t>
      </w:r>
      <w:r w:rsidR="004A4C35">
        <w:rPr>
          <w:rFonts w:hint="eastAsia"/>
        </w:rPr>
        <w:t>理解</w:t>
      </w:r>
      <w:r w:rsidR="00CD7F8F">
        <w:rPr>
          <w:rFonts w:hint="eastAsia"/>
        </w:rPr>
        <w:t>和共识</w:t>
      </w:r>
      <w:r w:rsidR="004A4C35">
        <w:rPr>
          <w:rFonts w:hint="eastAsia"/>
        </w:rPr>
        <w:t>；</w:t>
      </w:r>
    </w:p>
    <w:p w14:paraId="629F8A3E" w14:textId="77777777" w:rsidR="00B36C21" w:rsidRDefault="00EF6C4F">
      <w:pPr>
        <w:ind w:firstLineChars="200" w:firstLine="480"/>
      </w:pPr>
      <w:r>
        <w:rPr>
          <w:rFonts w:hint="eastAsia"/>
        </w:rPr>
        <w:t>b</w:t>
      </w:r>
      <w:r w:rsidR="004A4C35">
        <w:rPr>
          <w:rFonts w:hint="eastAsia"/>
        </w:rPr>
        <w:t>）规划、实施、监测、评估和反馈的循环机制；</w:t>
      </w:r>
    </w:p>
    <w:p w14:paraId="1D876742" w14:textId="77777777" w:rsidR="00B36C21" w:rsidRDefault="00EF6C4F">
      <w:pPr>
        <w:ind w:firstLineChars="200" w:firstLine="480"/>
      </w:pPr>
      <w:r>
        <w:rPr>
          <w:rFonts w:hint="eastAsia"/>
        </w:rPr>
        <w:t>c</w:t>
      </w:r>
      <w:r w:rsidR="004A4C35">
        <w:rPr>
          <w:rFonts w:hint="eastAsia"/>
        </w:rPr>
        <w:t>）合作伙伴和利益相关方的参与；</w:t>
      </w:r>
      <w:r w:rsidR="004A4C35">
        <w:rPr>
          <w:rFonts w:hint="eastAsia"/>
        </w:rPr>
        <w:t xml:space="preserve"> </w:t>
      </w:r>
    </w:p>
    <w:p w14:paraId="6E9116AE" w14:textId="77777777" w:rsidR="00B36C21" w:rsidRDefault="00EF6C4F">
      <w:pPr>
        <w:ind w:firstLineChars="200" w:firstLine="480"/>
      </w:pPr>
      <w:r>
        <w:rPr>
          <w:rFonts w:hint="eastAsia"/>
        </w:rPr>
        <w:t>d</w:t>
      </w:r>
      <w:r w:rsidR="004A4C35">
        <w:rPr>
          <w:rFonts w:hint="eastAsia"/>
        </w:rPr>
        <w:t>）必要资源的配置；</w:t>
      </w:r>
    </w:p>
    <w:p w14:paraId="4F200AE5" w14:textId="77777777" w:rsidR="00B36C21" w:rsidRDefault="00EF6C4F">
      <w:pPr>
        <w:ind w:firstLineChars="200" w:firstLine="480"/>
      </w:pPr>
      <w:r>
        <w:rPr>
          <w:rFonts w:hint="eastAsia"/>
        </w:rPr>
        <w:t>e</w:t>
      </w:r>
      <w:r w:rsidR="004A4C35">
        <w:rPr>
          <w:rFonts w:hint="eastAsia"/>
        </w:rPr>
        <w:t>）能力建设；</w:t>
      </w:r>
    </w:p>
    <w:p w14:paraId="1B4ECC6F" w14:textId="77777777" w:rsidR="00B36C21" w:rsidRDefault="00EF6C4F">
      <w:pPr>
        <w:ind w:firstLineChars="200" w:firstLine="480"/>
      </w:pPr>
      <w:r>
        <w:rPr>
          <w:rFonts w:hint="eastAsia"/>
        </w:rPr>
        <w:t>f</w:t>
      </w:r>
      <w:r w:rsidR="001A1305">
        <w:rPr>
          <w:rFonts w:hint="eastAsia"/>
        </w:rPr>
        <w:t>）对管理制度运作有可信且透明的</w:t>
      </w:r>
      <w:r w:rsidR="004A4C35">
        <w:rPr>
          <w:rFonts w:hint="eastAsia"/>
        </w:rPr>
        <w:t>描述。</w:t>
      </w:r>
    </w:p>
    <w:p w14:paraId="39057E9D" w14:textId="77777777" w:rsidR="00B36C21" w:rsidRDefault="00B36C21"/>
    <w:p w14:paraId="22D72108" w14:textId="77777777" w:rsidR="00B36C21" w:rsidRDefault="004A4C35">
      <w:pPr>
        <w:pStyle w:val="1"/>
      </w:pPr>
      <w:r>
        <w:rPr>
          <w:rFonts w:hint="eastAsia"/>
        </w:rPr>
        <w:t>考古遗址公园的概念</w:t>
      </w:r>
      <w:r>
        <w:rPr>
          <w:rFonts w:hint="eastAsia"/>
        </w:rPr>
        <w:t xml:space="preserve"> </w:t>
      </w:r>
    </w:p>
    <w:p w14:paraId="321AFB23" w14:textId="77777777" w:rsidR="00B36C21" w:rsidRDefault="009F7510">
      <w:pPr>
        <w:ind w:firstLineChars="200" w:firstLine="480"/>
      </w:pPr>
      <w:r>
        <w:rPr>
          <w:rFonts w:hint="eastAsia"/>
        </w:rPr>
        <w:t>本指南所称公园定义为：为</w:t>
      </w:r>
      <w:r w:rsidR="004A4C35">
        <w:rPr>
          <w:rFonts w:hint="eastAsia"/>
        </w:rPr>
        <w:t>公众</w:t>
      </w:r>
      <w:r>
        <w:rPr>
          <w:rFonts w:hint="eastAsia"/>
        </w:rPr>
        <w:t>参观</w:t>
      </w:r>
      <w:r w:rsidR="004A4C35">
        <w:rPr>
          <w:rFonts w:hint="eastAsia"/>
        </w:rPr>
        <w:t>、休闲和教育而设的保护区。这一定义与</w:t>
      </w:r>
      <w:r w:rsidR="004A4C35">
        <w:rPr>
          <w:rFonts w:hint="eastAsia"/>
        </w:rPr>
        <w:t>2015</w:t>
      </w:r>
      <w:r w:rsidR="004A4C35">
        <w:rPr>
          <w:rFonts w:hint="eastAsia"/>
        </w:rPr>
        <w:t>年</w:t>
      </w:r>
      <w:r w:rsidR="004A4C35">
        <w:rPr>
          <w:rFonts w:hint="eastAsia"/>
        </w:rPr>
        <w:t>2</w:t>
      </w:r>
      <w:r w:rsidR="004A4C35">
        <w:rPr>
          <w:rFonts w:hint="eastAsia"/>
        </w:rPr>
        <w:t>月</w:t>
      </w:r>
      <w:r w:rsidR="004A4C35">
        <w:rPr>
          <w:rFonts w:hint="eastAsia"/>
        </w:rPr>
        <w:t>23</w:t>
      </w:r>
      <w:r w:rsidR="004A4C35">
        <w:rPr>
          <w:rFonts w:hint="eastAsia"/>
        </w:rPr>
        <w:t>日至</w:t>
      </w:r>
      <w:r w:rsidR="004A4C35">
        <w:rPr>
          <w:rFonts w:hint="eastAsia"/>
        </w:rPr>
        <w:t>25</w:t>
      </w:r>
      <w:r w:rsidR="004A4C35">
        <w:rPr>
          <w:rFonts w:hint="eastAsia"/>
        </w:rPr>
        <w:t>日在阿曼苏丹国塞拉莱（</w:t>
      </w:r>
      <w:proofErr w:type="spellStart"/>
      <w:r w:rsidR="004A4C35">
        <w:rPr>
          <w:rFonts w:hint="eastAsia"/>
        </w:rPr>
        <w:t>Salalah</w:t>
      </w:r>
      <w:proofErr w:type="spellEnd"/>
      <w:r w:rsidR="004A4C35">
        <w:rPr>
          <w:rFonts w:hint="eastAsia"/>
        </w:rPr>
        <w:t>, the Sultanate of Oman</w:t>
      </w:r>
      <w:r w:rsidR="001A2FD6">
        <w:rPr>
          <w:rFonts w:hint="eastAsia"/>
        </w:rPr>
        <w:t>）举行的国际古迹遗址理事会考古遗址公园第一次国际会议的定义</w:t>
      </w:r>
      <w:r w:rsidR="004A4C35">
        <w:rPr>
          <w:rFonts w:hint="eastAsia"/>
        </w:rPr>
        <w:t>相一致。</w:t>
      </w:r>
    </w:p>
    <w:p w14:paraId="50212F47" w14:textId="77777777" w:rsidR="00D64AA0" w:rsidRDefault="004A4C35" w:rsidP="00A37F7B">
      <w:pPr>
        <w:ind w:firstLineChars="200" w:firstLine="480"/>
      </w:pPr>
      <w:r>
        <w:rPr>
          <w:rFonts w:hint="eastAsia"/>
        </w:rPr>
        <w:t>如《塞拉莱（</w:t>
      </w:r>
      <w:proofErr w:type="spellStart"/>
      <w:r>
        <w:rPr>
          <w:rFonts w:hint="eastAsia"/>
        </w:rPr>
        <w:t>Salalah</w:t>
      </w:r>
      <w:proofErr w:type="spellEnd"/>
      <w:r>
        <w:rPr>
          <w:rFonts w:hint="eastAsia"/>
        </w:rPr>
        <w:t>）建议》所述，考古遗址公园既包括地上遗存，也包括地下遗迹。《塞拉莱（</w:t>
      </w:r>
      <w:proofErr w:type="spellStart"/>
      <w:r>
        <w:rPr>
          <w:rFonts w:hint="eastAsia"/>
        </w:rPr>
        <w:t>Salalah</w:t>
      </w:r>
      <w:proofErr w:type="spellEnd"/>
      <w:r>
        <w:rPr>
          <w:rFonts w:hint="eastAsia"/>
        </w:rPr>
        <w:t>）建议》指出考古遗址公园“一方面应被视为保护考古遗址的工具，另一方面它们的展示和阐释应被视为理解人类共同过去的一种手段”（</w:t>
      </w:r>
      <w:hyperlink r:id="rId9" w:history="1">
        <w:r w:rsidR="00A37F7B" w:rsidRPr="00452FA5">
          <w:rPr>
            <w:rStyle w:val="aa"/>
            <w:rFonts w:ascii="Times New Roman" w:hAnsi="Times New Roman"/>
            <w:sz w:val="28"/>
            <w:szCs w:val="28"/>
          </w:rPr>
          <w:t>http://whc.unesco.org/en/news/1256</w:t>
        </w:r>
      </w:hyperlink>
      <w:r>
        <w:rPr>
          <w:rFonts w:hint="eastAsia"/>
        </w:rPr>
        <w:t>）。因此，它可以被视为</w:t>
      </w:r>
      <w:r w:rsidRPr="009F7510">
        <w:rPr>
          <w:rFonts w:hint="eastAsia"/>
        </w:rPr>
        <w:t>推动了</w:t>
      </w:r>
      <w:r>
        <w:rPr>
          <w:rFonts w:hint="eastAsia"/>
        </w:rPr>
        <w:t>《世界遗产公约》的总体目标。由于它能反映</w:t>
      </w:r>
      <w:r w:rsidR="009F7510" w:rsidRPr="009F7510">
        <w:rPr>
          <w:rFonts w:hint="eastAsia"/>
        </w:rPr>
        <w:t>人类共享</w:t>
      </w:r>
      <w:r w:rsidRPr="009F7510">
        <w:rPr>
          <w:rFonts w:hint="eastAsia"/>
        </w:rPr>
        <w:t>的概念</w:t>
      </w:r>
      <w:r w:rsidR="0089783F">
        <w:rPr>
          <w:rFonts w:hint="eastAsia"/>
        </w:rPr>
        <w:t>，它应该作为一种教学手段；并且，在得到可持续管理后，</w:t>
      </w:r>
      <w:r>
        <w:rPr>
          <w:rFonts w:hint="eastAsia"/>
        </w:rPr>
        <w:t>为其他存在重要文化和自然资源的脆弱遗址提供一个</w:t>
      </w:r>
      <w:r w:rsidR="0089783F">
        <w:rPr>
          <w:rFonts w:hint="eastAsia"/>
        </w:rPr>
        <w:t>如何</w:t>
      </w:r>
      <w:r>
        <w:rPr>
          <w:rFonts w:hint="eastAsia"/>
        </w:rPr>
        <w:t>实现可持续管理的范本。</w:t>
      </w:r>
    </w:p>
    <w:p w14:paraId="241F8E29" w14:textId="77777777" w:rsidR="004A62C4" w:rsidRDefault="004A62C4" w:rsidP="00A37F7B">
      <w:pPr>
        <w:ind w:firstLineChars="200" w:firstLine="480"/>
      </w:pPr>
    </w:p>
    <w:p w14:paraId="699D8CCA" w14:textId="77777777" w:rsidR="00B36C21" w:rsidRDefault="004A4C35">
      <w:pPr>
        <w:pStyle w:val="1"/>
      </w:pPr>
      <w:r>
        <w:rPr>
          <w:rFonts w:hint="eastAsia"/>
        </w:rPr>
        <w:t>指南</w:t>
      </w:r>
    </w:p>
    <w:p w14:paraId="5C2F0FAD" w14:textId="77777777" w:rsidR="00B36C21" w:rsidRPr="00CC7FB6" w:rsidRDefault="004A4C35">
      <w:pPr>
        <w:pStyle w:val="2"/>
        <w:rPr>
          <w:u w:val="single"/>
        </w:rPr>
      </w:pPr>
      <w:r w:rsidRPr="00CC7FB6">
        <w:rPr>
          <w:rFonts w:hint="eastAsia"/>
          <w:u w:val="single"/>
        </w:rPr>
        <w:t xml:space="preserve">1. </w:t>
      </w:r>
      <w:r w:rsidRPr="00CC7FB6">
        <w:rPr>
          <w:rFonts w:hint="eastAsia"/>
          <w:u w:val="single"/>
        </w:rPr>
        <w:t>管理规划</w:t>
      </w:r>
    </w:p>
    <w:p w14:paraId="14794813" w14:textId="77777777" w:rsidR="00D60246" w:rsidRPr="00D60246" w:rsidRDefault="004A4C35" w:rsidP="001C6F90">
      <w:pPr>
        <w:pStyle w:val="3"/>
        <w:spacing w:beforeLines="50" w:before="163"/>
      </w:pPr>
      <w:r w:rsidRPr="00CC7FB6">
        <w:rPr>
          <w:rFonts w:hint="eastAsia"/>
        </w:rPr>
        <w:t>1.1</w:t>
      </w:r>
      <w:r w:rsidR="00CC7FB6">
        <w:rPr>
          <w:rFonts w:hint="eastAsia"/>
        </w:rPr>
        <w:t>.</w:t>
      </w:r>
      <w:r w:rsidRPr="00CC7FB6">
        <w:rPr>
          <w:rFonts w:hint="eastAsia"/>
        </w:rPr>
        <w:t xml:space="preserve"> 清单和评估</w:t>
      </w:r>
      <w:r w:rsidR="00D60246" w:rsidRPr="00D60246">
        <w:rPr>
          <w:rFonts w:hint="eastAsia"/>
        </w:rPr>
        <w:t>。</w:t>
      </w:r>
      <w:r w:rsidR="00D60246" w:rsidRPr="00D60246">
        <w:rPr>
          <w:rFonts w:hint="eastAsia"/>
          <w:b w:val="0"/>
        </w:rPr>
        <w:t>应努力将经济有效、非侵入性、非破坏型的技术手段用于文化与自然资源的清查和评估。这些技术手段应包括例如对遗址和资源的直接探测或为遗址和资源的分布建模。</w:t>
      </w:r>
    </w:p>
    <w:p w14:paraId="0BCECDC8" w14:textId="77777777" w:rsidR="00851E82" w:rsidRDefault="00721EC4" w:rsidP="00290FF6">
      <w:r>
        <w:rPr>
          <w:rFonts w:hint="eastAsia"/>
          <w:i/>
          <w:iCs/>
        </w:rPr>
        <w:t xml:space="preserve">1.1.1. </w:t>
      </w:r>
      <w:r w:rsidR="004A4C35">
        <w:rPr>
          <w:rFonts w:hint="eastAsia"/>
          <w:i/>
          <w:iCs/>
        </w:rPr>
        <w:t>文化资源。</w:t>
      </w:r>
      <w:r w:rsidR="004A4C35">
        <w:rPr>
          <w:rFonts w:hint="eastAsia"/>
        </w:rPr>
        <w:t>建立一个针对</w:t>
      </w:r>
      <w:r w:rsidR="004A4C35" w:rsidRPr="00D64AA0">
        <w:rPr>
          <w:rFonts w:hint="eastAsia"/>
        </w:rPr>
        <w:t>考古遗址、遗迹和景观</w:t>
      </w:r>
      <w:r w:rsidR="004A4C35">
        <w:rPr>
          <w:rFonts w:hint="eastAsia"/>
        </w:rPr>
        <w:t>的可持续管理制度，一份文化资源的</w:t>
      </w:r>
      <w:r w:rsidR="004A4C35" w:rsidRPr="00D64AA0">
        <w:rPr>
          <w:rFonts w:hint="eastAsia"/>
        </w:rPr>
        <w:t>清单和评估</w:t>
      </w:r>
      <w:r w:rsidR="004A4C35">
        <w:rPr>
          <w:rFonts w:hint="eastAsia"/>
        </w:rPr>
        <w:t>是确定其可行性的第一步。评估应了解文化资源的脆弱性、所受威胁及其重要性。</w:t>
      </w:r>
    </w:p>
    <w:p w14:paraId="17B93312" w14:textId="77777777" w:rsidR="00B36C21" w:rsidRDefault="004A4C35" w:rsidP="00290FF6">
      <w:r>
        <w:rPr>
          <w:rFonts w:hint="eastAsia"/>
        </w:rPr>
        <w:t>该地区的管理者应：</w:t>
      </w:r>
    </w:p>
    <w:p w14:paraId="36E902F8" w14:textId="77777777" w:rsidR="00B36C21" w:rsidRDefault="004A4C35" w:rsidP="00290FF6">
      <w:r>
        <w:rPr>
          <w:rFonts w:hint="eastAsia"/>
        </w:rPr>
        <w:t>1.1.1.1</w:t>
      </w:r>
      <w:r w:rsidR="00CC7FB6">
        <w:rPr>
          <w:rFonts w:hint="eastAsia"/>
        </w:rPr>
        <w:t>.</w:t>
      </w:r>
      <w:r>
        <w:rPr>
          <w:rFonts w:hint="eastAsia"/>
        </w:rPr>
        <w:t xml:space="preserve"> </w:t>
      </w:r>
      <w:r w:rsidR="00706548">
        <w:rPr>
          <w:rFonts w:hint="eastAsia"/>
        </w:rPr>
        <w:t>确保</w:t>
      </w:r>
      <w:r>
        <w:rPr>
          <w:rFonts w:hint="eastAsia"/>
        </w:rPr>
        <w:t>有</w:t>
      </w:r>
      <w:r w:rsidR="00B118D0">
        <w:rPr>
          <w:rFonts w:hint="eastAsia"/>
        </w:rPr>
        <w:t>专业资格、被业界认可</w:t>
      </w:r>
      <w:r>
        <w:rPr>
          <w:rFonts w:hint="eastAsia"/>
        </w:rPr>
        <w:t>、国际公认的考古学专家协助</w:t>
      </w:r>
      <w:r w:rsidRPr="001B2269">
        <w:rPr>
          <w:rFonts w:hint="eastAsia"/>
        </w:rPr>
        <w:t>考古遗址、遗物和景观及所有相关材料</w:t>
      </w:r>
      <w:r>
        <w:rPr>
          <w:rFonts w:hint="eastAsia"/>
        </w:rPr>
        <w:t>的认定和评估工作；</w:t>
      </w:r>
    </w:p>
    <w:p w14:paraId="2423BE3C" w14:textId="77777777" w:rsidR="00B36C21" w:rsidRDefault="004A4C35" w:rsidP="00290FF6">
      <w:r>
        <w:rPr>
          <w:rFonts w:hint="eastAsia"/>
        </w:rPr>
        <w:t xml:space="preserve">1.1.1.2. </w:t>
      </w:r>
      <w:r>
        <w:rPr>
          <w:rFonts w:hint="eastAsia"/>
        </w:rPr>
        <w:t>确保存档完整的、国际公认的最佳实践得以执行，包括</w:t>
      </w:r>
      <w:r w:rsidR="00E45911">
        <w:rPr>
          <w:rFonts w:hint="eastAsia"/>
        </w:rPr>
        <w:t>对考古遗产的</w:t>
      </w:r>
      <w:r>
        <w:rPr>
          <w:rFonts w:hint="eastAsia"/>
        </w:rPr>
        <w:t>田野研究、记录、评估和保护。</w:t>
      </w:r>
    </w:p>
    <w:p w14:paraId="0A45CAFB" w14:textId="77777777" w:rsidR="00C821A7" w:rsidRDefault="004A4C35" w:rsidP="00290FF6">
      <w:r>
        <w:rPr>
          <w:rFonts w:hint="eastAsia"/>
          <w:i/>
          <w:iCs/>
        </w:rPr>
        <w:t>1.1.2</w:t>
      </w:r>
      <w:r w:rsidR="00721EC4">
        <w:rPr>
          <w:rFonts w:hint="eastAsia"/>
          <w:i/>
          <w:iCs/>
        </w:rPr>
        <w:t>.</w:t>
      </w:r>
      <w:r>
        <w:rPr>
          <w:rFonts w:hint="eastAsia"/>
          <w:i/>
          <w:iCs/>
        </w:rPr>
        <w:t xml:space="preserve"> </w:t>
      </w:r>
      <w:r>
        <w:rPr>
          <w:rFonts w:hint="eastAsia"/>
          <w:i/>
          <w:iCs/>
        </w:rPr>
        <w:t>自然资源。</w:t>
      </w:r>
      <w:r w:rsidR="005A1D4A">
        <w:rPr>
          <w:rFonts w:hint="eastAsia"/>
          <w:i/>
          <w:iCs/>
        </w:rPr>
        <w:t>对</w:t>
      </w:r>
      <w:r w:rsidR="005A1D4A">
        <w:rPr>
          <w:rFonts w:hint="eastAsia"/>
        </w:rPr>
        <w:t>自然资源的清查</w:t>
      </w:r>
      <w:r>
        <w:rPr>
          <w:rFonts w:hint="eastAsia"/>
        </w:rPr>
        <w:t>和评估与文化资源</w:t>
      </w:r>
      <w:r w:rsidR="005A1D4A">
        <w:rPr>
          <w:rFonts w:hint="eastAsia"/>
        </w:rPr>
        <w:t>的一样重要，并</w:t>
      </w:r>
      <w:r>
        <w:rPr>
          <w:rFonts w:hint="eastAsia"/>
        </w:rPr>
        <w:t>应能够</w:t>
      </w:r>
      <w:r w:rsidR="003A764E">
        <w:rPr>
          <w:rFonts w:hint="eastAsia"/>
        </w:rPr>
        <w:t>确定</w:t>
      </w:r>
      <w:r>
        <w:rPr>
          <w:rFonts w:hint="eastAsia"/>
        </w:rPr>
        <w:t>那些现在或将来可能威胁考古资源的环境变化以及有利于当地人民的</w:t>
      </w:r>
      <w:r w:rsidRPr="001B2269">
        <w:rPr>
          <w:rFonts w:hint="eastAsia"/>
        </w:rPr>
        <w:t>环境服务</w:t>
      </w:r>
      <w:r>
        <w:rPr>
          <w:rFonts w:hint="eastAsia"/>
        </w:rPr>
        <w:t>。</w:t>
      </w:r>
    </w:p>
    <w:p w14:paraId="3288C817" w14:textId="77777777" w:rsidR="00B36C21" w:rsidRDefault="004A4C35" w:rsidP="00290FF6">
      <w:r>
        <w:rPr>
          <w:rFonts w:hint="eastAsia"/>
        </w:rPr>
        <w:t>该地区的管理者应：</w:t>
      </w:r>
    </w:p>
    <w:p w14:paraId="4470EA14" w14:textId="77777777" w:rsidR="00B36C21" w:rsidRDefault="004A4C35" w:rsidP="00290FF6">
      <w:r>
        <w:rPr>
          <w:rFonts w:hint="eastAsia"/>
        </w:rPr>
        <w:t>1.1.2.1</w:t>
      </w:r>
      <w:r w:rsidR="00CC7FB6">
        <w:rPr>
          <w:rFonts w:hint="eastAsia"/>
        </w:rPr>
        <w:t>.</w:t>
      </w:r>
      <w:r>
        <w:rPr>
          <w:rFonts w:hint="eastAsia"/>
        </w:rPr>
        <w:t xml:space="preserve"> </w:t>
      </w:r>
      <w:r w:rsidR="003F0613">
        <w:rPr>
          <w:rFonts w:hint="eastAsia"/>
        </w:rPr>
        <w:t>确保有资格的，被广泛认可</w:t>
      </w:r>
      <w:r>
        <w:rPr>
          <w:rFonts w:hint="eastAsia"/>
        </w:rPr>
        <w:t>，国际公认的相关领域的专家协助。自然资源的清单应当全面，并确定哪些是或可能是：</w:t>
      </w:r>
    </w:p>
    <w:p w14:paraId="3AD0E54C" w14:textId="77777777" w:rsidR="00B36C21" w:rsidRDefault="004A4C35" w:rsidP="00290FF6">
      <w:r>
        <w:rPr>
          <w:rFonts w:hint="eastAsia"/>
        </w:rPr>
        <w:t>1.1.2.1.1</w:t>
      </w:r>
      <w:r w:rsidR="00721EC4">
        <w:rPr>
          <w:rFonts w:hint="eastAsia"/>
        </w:rPr>
        <w:t>.</w:t>
      </w:r>
      <w:r>
        <w:rPr>
          <w:rFonts w:hint="eastAsia"/>
        </w:rPr>
        <w:t xml:space="preserve"> </w:t>
      </w:r>
      <w:r>
        <w:rPr>
          <w:rFonts w:hint="eastAsia"/>
        </w:rPr>
        <w:t>受到威胁或濒危的；</w:t>
      </w:r>
      <w:r>
        <w:rPr>
          <w:rFonts w:hint="eastAsia"/>
        </w:rPr>
        <w:t xml:space="preserve"> </w:t>
      </w:r>
    </w:p>
    <w:p w14:paraId="7AF95AE4" w14:textId="77777777" w:rsidR="00B36C21" w:rsidRDefault="004A4C35" w:rsidP="00290FF6">
      <w:pPr>
        <w:rPr>
          <w:b/>
        </w:rPr>
      </w:pPr>
      <w:r>
        <w:rPr>
          <w:rFonts w:hint="eastAsia"/>
        </w:rPr>
        <w:t>1.1.2.1.2</w:t>
      </w:r>
      <w:r w:rsidR="00721EC4">
        <w:rPr>
          <w:rFonts w:hint="eastAsia"/>
        </w:rPr>
        <w:t>.</w:t>
      </w:r>
      <w:r>
        <w:rPr>
          <w:rFonts w:hint="eastAsia"/>
        </w:rPr>
        <w:t xml:space="preserve"> </w:t>
      </w:r>
      <w:r w:rsidRPr="00E503FB">
        <w:rPr>
          <w:rFonts w:hint="eastAsia"/>
        </w:rPr>
        <w:t>对包含考古遗址为其一部分的更大范围的</w:t>
      </w:r>
      <w:r w:rsidR="00E503FB" w:rsidRPr="00E503FB">
        <w:rPr>
          <w:rFonts w:hint="eastAsia"/>
        </w:rPr>
        <w:t>环境</w:t>
      </w:r>
      <w:r w:rsidRPr="00E503FB">
        <w:rPr>
          <w:rFonts w:hint="eastAsia"/>
        </w:rPr>
        <w:t>景观极其重要的，</w:t>
      </w:r>
      <w:r>
        <w:rPr>
          <w:rFonts w:hint="eastAsia"/>
        </w:rPr>
        <w:t>特别是那些与考古遗存在其背景环境中的保存相关的</w:t>
      </w:r>
      <w:r w:rsidR="00D85759">
        <w:rPr>
          <w:rFonts w:hint="eastAsia"/>
        </w:rPr>
        <w:t>。</w:t>
      </w:r>
    </w:p>
    <w:p w14:paraId="4B20C534" w14:textId="77777777" w:rsidR="00B36C21" w:rsidRDefault="004A4C35" w:rsidP="00290FF6">
      <w:r>
        <w:rPr>
          <w:rFonts w:hint="eastAsia"/>
        </w:rPr>
        <w:t>1.1.2.1.3</w:t>
      </w:r>
      <w:r w:rsidR="00721EC4">
        <w:rPr>
          <w:rFonts w:hint="eastAsia"/>
        </w:rPr>
        <w:t>.</w:t>
      </w:r>
      <w:r>
        <w:rPr>
          <w:rFonts w:hint="eastAsia"/>
        </w:rPr>
        <w:t xml:space="preserve"> </w:t>
      </w:r>
      <w:r w:rsidR="0027198C">
        <w:rPr>
          <w:rFonts w:hint="eastAsia"/>
        </w:rPr>
        <w:t>与对</w:t>
      </w:r>
      <w:r>
        <w:rPr>
          <w:rFonts w:hint="eastAsia"/>
        </w:rPr>
        <w:t>当地人口的</w:t>
      </w:r>
      <w:r w:rsidRPr="00D94FEB">
        <w:rPr>
          <w:rFonts w:hint="eastAsia"/>
        </w:rPr>
        <w:t>有价值的环境服务</w:t>
      </w:r>
      <w:r w:rsidR="0027198C">
        <w:rPr>
          <w:rFonts w:hint="eastAsia"/>
        </w:rPr>
        <w:t>密不可分</w:t>
      </w:r>
      <w:r>
        <w:rPr>
          <w:rFonts w:hint="eastAsia"/>
        </w:rPr>
        <w:t>的</w:t>
      </w:r>
      <w:r w:rsidR="00D85759">
        <w:rPr>
          <w:rFonts w:hint="eastAsia"/>
        </w:rPr>
        <w:t>。</w:t>
      </w:r>
    </w:p>
    <w:p w14:paraId="433A36C7" w14:textId="77777777" w:rsidR="00B36C21" w:rsidRDefault="004A4C35" w:rsidP="00290FF6">
      <w:r w:rsidRPr="00D94FEB">
        <w:rPr>
          <w:rFonts w:hint="eastAsia"/>
        </w:rPr>
        <w:t>1.1.3</w:t>
      </w:r>
      <w:r w:rsidR="00CC7FB6">
        <w:rPr>
          <w:rFonts w:hint="eastAsia"/>
        </w:rPr>
        <w:t>.</w:t>
      </w:r>
      <w:r w:rsidRPr="00D94FEB">
        <w:rPr>
          <w:rFonts w:hint="eastAsia"/>
        </w:rPr>
        <w:t xml:space="preserve"> </w:t>
      </w:r>
      <w:r w:rsidRPr="00D94FEB">
        <w:rPr>
          <w:rFonts w:hint="eastAsia"/>
        </w:rPr>
        <w:t>基础设施。</w:t>
      </w:r>
      <w:r>
        <w:rPr>
          <w:rFonts w:hint="eastAsia"/>
        </w:rPr>
        <w:t>应提供竣工检验单、详细</w:t>
      </w:r>
      <w:r>
        <w:t>技术</w:t>
      </w:r>
      <w:r>
        <w:rPr>
          <w:rFonts w:hint="eastAsia"/>
        </w:rPr>
        <w:t>参数和全部基础设施现状条件，以及已知或估计的用户数量。基础设施包括所有的建筑、公共设施、道路、通讯网络及</w:t>
      </w:r>
      <w:r w:rsidR="00E503FB">
        <w:rPr>
          <w:rFonts w:hint="eastAsia"/>
        </w:rPr>
        <w:t>进入</w:t>
      </w:r>
      <w:r w:rsidR="00E503FB" w:rsidRPr="00E503FB">
        <w:rPr>
          <w:rFonts w:hint="eastAsia"/>
        </w:rPr>
        <w:t>参观</w:t>
      </w:r>
      <w:r>
        <w:rPr>
          <w:rFonts w:hint="eastAsia"/>
        </w:rPr>
        <w:t>和旅游</w:t>
      </w:r>
      <w:r w:rsidR="00E503FB">
        <w:rPr>
          <w:rFonts w:hint="eastAsia"/>
        </w:rPr>
        <w:t>手段</w:t>
      </w:r>
      <w:r>
        <w:rPr>
          <w:rFonts w:hint="eastAsia"/>
        </w:rPr>
        <w:t>。</w:t>
      </w:r>
    </w:p>
    <w:p w14:paraId="2B5456CC" w14:textId="77777777" w:rsidR="00E867AC" w:rsidRDefault="004A4C35" w:rsidP="00290FF6">
      <w:r w:rsidRPr="00D94FEB">
        <w:rPr>
          <w:rFonts w:hint="eastAsia"/>
        </w:rPr>
        <w:t>1.1.4</w:t>
      </w:r>
      <w:r w:rsidR="00CC7FB6">
        <w:rPr>
          <w:rFonts w:hint="eastAsia"/>
        </w:rPr>
        <w:t>.</w:t>
      </w:r>
      <w:r w:rsidRPr="00D94FEB">
        <w:rPr>
          <w:rFonts w:hint="eastAsia"/>
        </w:rPr>
        <w:t xml:space="preserve"> </w:t>
      </w:r>
      <w:r w:rsidRPr="00D94FEB">
        <w:rPr>
          <w:rFonts w:hint="eastAsia"/>
        </w:rPr>
        <w:t>传统使用区域。</w:t>
      </w:r>
      <w:r>
        <w:rPr>
          <w:rFonts w:hint="eastAsia"/>
        </w:rPr>
        <w:t>应</w:t>
      </w:r>
      <w:r w:rsidRPr="00D94FEB">
        <w:rPr>
          <w:rFonts w:hint="eastAsia"/>
        </w:rPr>
        <w:t>确定</w:t>
      </w:r>
      <w:r w:rsidR="00332B43">
        <w:rPr>
          <w:rFonts w:hint="eastAsia"/>
        </w:rPr>
        <w:t>传统使用区域。传统使用区域是指对遗址及周边地区的当</w:t>
      </w:r>
      <w:r>
        <w:rPr>
          <w:rFonts w:hint="eastAsia"/>
        </w:rPr>
        <w:t>代居民有特殊价值的区域，包括那些可能被认为是神圣的或用于传统目的的区域（例如，</w:t>
      </w:r>
      <w:r w:rsidR="00332B43">
        <w:rPr>
          <w:rFonts w:hint="eastAsia"/>
        </w:rPr>
        <w:t>特别</w:t>
      </w:r>
      <w:r w:rsidR="00D94FEB" w:rsidRPr="00D94FEB">
        <w:rPr>
          <w:rFonts w:hint="eastAsia"/>
        </w:rPr>
        <w:t>视域</w:t>
      </w:r>
      <w:r w:rsidRPr="00D94FEB">
        <w:rPr>
          <w:rFonts w:hint="eastAsia"/>
        </w:rPr>
        <w:t>，</w:t>
      </w:r>
      <w:r w:rsidR="00332B43">
        <w:rPr>
          <w:rFonts w:hint="eastAsia"/>
        </w:rPr>
        <w:t>婚庆</w:t>
      </w:r>
      <w:r>
        <w:rPr>
          <w:rFonts w:hint="eastAsia"/>
        </w:rPr>
        <w:t>活动，或药用</w:t>
      </w:r>
      <w:r>
        <w:rPr>
          <w:rFonts w:hint="eastAsia"/>
        </w:rPr>
        <w:t>/</w:t>
      </w:r>
      <w:r>
        <w:rPr>
          <w:rFonts w:hint="eastAsia"/>
        </w:rPr>
        <w:t>营养植物的收集）。</w:t>
      </w:r>
    </w:p>
    <w:p w14:paraId="5D92962A" w14:textId="77777777" w:rsidR="00B36C21" w:rsidRDefault="008D744E" w:rsidP="00290FF6">
      <w:r>
        <w:rPr>
          <w:rFonts w:hint="eastAsia"/>
        </w:rPr>
        <w:lastRenderedPageBreak/>
        <w:t>向公众开放</w:t>
      </w:r>
      <w:r w:rsidR="004A4C35">
        <w:rPr>
          <w:rFonts w:hint="eastAsia"/>
        </w:rPr>
        <w:t>的考古遗址的管理者应：</w:t>
      </w:r>
    </w:p>
    <w:p w14:paraId="5B97C317" w14:textId="77777777" w:rsidR="00B36C21" w:rsidRDefault="004A4C35" w:rsidP="00290FF6">
      <w:r>
        <w:rPr>
          <w:rFonts w:hint="eastAsia"/>
        </w:rPr>
        <w:t>1.1.4.1</w:t>
      </w:r>
      <w:r w:rsidR="00CC7FB6">
        <w:rPr>
          <w:rFonts w:hint="eastAsia"/>
        </w:rPr>
        <w:t>.</w:t>
      </w:r>
      <w:r>
        <w:rPr>
          <w:rFonts w:hint="eastAsia"/>
        </w:rPr>
        <w:t xml:space="preserve"> </w:t>
      </w:r>
      <w:r w:rsidR="00C547A0">
        <w:rPr>
          <w:rFonts w:hint="eastAsia"/>
        </w:rPr>
        <w:t>确保</w:t>
      </w:r>
      <w:r>
        <w:rPr>
          <w:rFonts w:hint="eastAsia"/>
        </w:rPr>
        <w:t>有资格的，被广泛认可的和公认的传统使用区域的专家来识别和评估这些地区的考古遗产；</w:t>
      </w:r>
    </w:p>
    <w:p w14:paraId="68243088" w14:textId="77777777" w:rsidR="00344D10" w:rsidRDefault="004A4C35" w:rsidP="00290FF6">
      <w:r>
        <w:rPr>
          <w:rFonts w:hint="eastAsia"/>
        </w:rPr>
        <w:t>1.1.4.2</w:t>
      </w:r>
      <w:r w:rsidR="00CC7FB6">
        <w:rPr>
          <w:rFonts w:hint="eastAsia"/>
        </w:rPr>
        <w:t>.</w:t>
      </w:r>
      <w:r>
        <w:rPr>
          <w:rFonts w:hint="eastAsia"/>
        </w:rPr>
        <w:t xml:space="preserve"> </w:t>
      </w:r>
      <w:r>
        <w:rPr>
          <w:rFonts w:hint="eastAsia"/>
        </w:rPr>
        <w:t>确保存档完整的、国际公认的最佳实践得以执行，包括田野研究、记录、评估和传统使用区域考古遗产的保护。</w:t>
      </w:r>
    </w:p>
    <w:p w14:paraId="4F66AFD1" w14:textId="77777777" w:rsidR="004A62C4" w:rsidRDefault="004A62C4" w:rsidP="00290FF6"/>
    <w:p w14:paraId="3173B9AC" w14:textId="77777777" w:rsidR="00B36C21" w:rsidRDefault="004A4C35" w:rsidP="00290FF6">
      <w:pPr>
        <w:pStyle w:val="3"/>
      </w:pPr>
      <w:r>
        <w:rPr>
          <w:rFonts w:hint="eastAsia"/>
        </w:rPr>
        <w:t>1.2</w:t>
      </w:r>
      <w:r w:rsidR="00CC7FB6">
        <w:rPr>
          <w:rFonts w:hint="eastAsia"/>
        </w:rPr>
        <w:t>.</w:t>
      </w:r>
      <w:r>
        <w:rPr>
          <w:rFonts w:hint="eastAsia"/>
        </w:rPr>
        <w:t xml:space="preserve"> </w:t>
      </w:r>
      <w:r w:rsidR="002803B1">
        <w:rPr>
          <w:rFonts w:hint="eastAsia"/>
        </w:rPr>
        <w:t>确</w:t>
      </w:r>
      <w:r>
        <w:rPr>
          <w:rFonts w:hint="eastAsia"/>
        </w:rPr>
        <w:t>立遗址边界和管理区</w:t>
      </w:r>
    </w:p>
    <w:p w14:paraId="3FA6BFAB" w14:textId="77777777" w:rsidR="00B36C21" w:rsidRDefault="004A4C35" w:rsidP="00290FF6">
      <w:r>
        <w:rPr>
          <w:rFonts w:hint="eastAsia"/>
          <w:i/>
          <w:iCs/>
        </w:rPr>
        <w:t>1.2.1</w:t>
      </w:r>
      <w:r w:rsidR="00CC7FB6">
        <w:rPr>
          <w:rFonts w:hint="eastAsia"/>
          <w:i/>
          <w:iCs/>
        </w:rPr>
        <w:t>.</w:t>
      </w:r>
      <w:r>
        <w:rPr>
          <w:rFonts w:hint="eastAsia"/>
          <w:i/>
          <w:iCs/>
        </w:rPr>
        <w:t xml:space="preserve"> </w:t>
      </w:r>
      <w:r>
        <w:rPr>
          <w:rFonts w:hint="eastAsia"/>
          <w:i/>
          <w:iCs/>
        </w:rPr>
        <w:t>遗址边界。</w:t>
      </w:r>
      <w:r>
        <w:rPr>
          <w:rFonts w:hint="eastAsia"/>
        </w:rPr>
        <w:t>根据文化和自然资源清单准确确定可能</w:t>
      </w:r>
      <w:r w:rsidR="008D744E">
        <w:rPr>
          <w:rFonts w:hint="eastAsia"/>
        </w:rPr>
        <w:t>向公众开放</w:t>
      </w:r>
      <w:r>
        <w:rPr>
          <w:rFonts w:hint="eastAsia"/>
        </w:rPr>
        <w:t>的考古遗址的拟定边界是至关重要的。</w:t>
      </w:r>
    </w:p>
    <w:p w14:paraId="7B13E832" w14:textId="77777777" w:rsidR="00B36C21" w:rsidRDefault="004A4C35" w:rsidP="00290FF6">
      <w:r>
        <w:rPr>
          <w:rFonts w:hint="eastAsia"/>
          <w:i/>
          <w:iCs/>
        </w:rPr>
        <w:t>1.2.2</w:t>
      </w:r>
      <w:r w:rsidR="00CC7FB6">
        <w:rPr>
          <w:rFonts w:hint="eastAsia"/>
          <w:i/>
          <w:iCs/>
        </w:rPr>
        <w:t>.</w:t>
      </w:r>
      <w:r>
        <w:rPr>
          <w:rFonts w:hint="eastAsia"/>
          <w:i/>
          <w:iCs/>
        </w:rPr>
        <w:t xml:space="preserve"> </w:t>
      </w:r>
      <w:r>
        <w:rPr>
          <w:rFonts w:hint="eastAsia"/>
          <w:i/>
          <w:iCs/>
        </w:rPr>
        <w:t>遗址规模和布局。</w:t>
      </w:r>
      <w:r>
        <w:rPr>
          <w:rFonts w:hint="eastAsia"/>
        </w:rPr>
        <w:t>遗址应具有足够的规模和合适的布局，使可持续的资源保护和游客休闲成为可能（应将拟定边界外资源的当前和潜在影响纳入考虑范围）。</w:t>
      </w:r>
    </w:p>
    <w:p w14:paraId="45BFC7A4" w14:textId="77777777" w:rsidR="00B36C21" w:rsidRDefault="004A4C35" w:rsidP="00290FF6">
      <w:r>
        <w:rPr>
          <w:rFonts w:hint="eastAsia"/>
          <w:i/>
          <w:iCs/>
        </w:rPr>
        <w:t>1.2.3</w:t>
      </w:r>
      <w:r w:rsidR="00CC7FB6">
        <w:rPr>
          <w:rFonts w:hint="eastAsia"/>
          <w:i/>
          <w:iCs/>
        </w:rPr>
        <w:t>.</w:t>
      </w:r>
      <w:r>
        <w:rPr>
          <w:rFonts w:hint="eastAsia"/>
          <w:i/>
          <w:iCs/>
        </w:rPr>
        <w:t>考虑成本。</w:t>
      </w:r>
      <w:r>
        <w:rPr>
          <w:rFonts w:hint="eastAsia"/>
        </w:rPr>
        <w:t>遗址的</w:t>
      </w:r>
      <w:r w:rsidR="003E44CF" w:rsidRPr="003E44CF">
        <w:rPr>
          <w:rFonts w:hint="eastAsia"/>
        </w:rPr>
        <w:t>独特性</w:t>
      </w:r>
      <w:r>
        <w:rPr>
          <w:rFonts w:hint="eastAsia"/>
        </w:rPr>
        <w:t>不应将负有管理责任的一方或多方实现有效管理和经营所能承担的合理成本排除在外。考虑因素包括：</w:t>
      </w:r>
    </w:p>
    <w:p w14:paraId="695AB39F" w14:textId="77777777" w:rsidR="00B36C21" w:rsidRDefault="004A4C35" w:rsidP="00290FF6">
      <w:r>
        <w:rPr>
          <w:rFonts w:hint="eastAsia"/>
        </w:rPr>
        <w:t>1.2.3.1</w:t>
      </w:r>
      <w:r w:rsidR="00CC7FB6">
        <w:rPr>
          <w:rFonts w:hint="eastAsia"/>
        </w:rPr>
        <w:t>.</w:t>
      </w:r>
      <w:r>
        <w:rPr>
          <w:rFonts w:hint="eastAsia"/>
        </w:rPr>
        <w:t xml:space="preserve"> </w:t>
      </w:r>
      <w:r w:rsidR="00F556C8">
        <w:rPr>
          <w:rFonts w:hint="eastAsia"/>
        </w:rPr>
        <w:t>遗址区内和缓冲区内外</w:t>
      </w:r>
      <w:r>
        <w:rPr>
          <w:rFonts w:hint="eastAsia"/>
        </w:rPr>
        <w:t>土地的当前和潜在用途；</w:t>
      </w:r>
    </w:p>
    <w:p w14:paraId="57A9BAD2" w14:textId="77777777" w:rsidR="00B36C21" w:rsidRDefault="004A4C35" w:rsidP="00290FF6">
      <w:r>
        <w:rPr>
          <w:rFonts w:hint="eastAsia"/>
        </w:rPr>
        <w:t>1.2.3.2</w:t>
      </w:r>
      <w:r w:rsidR="00CC7FB6">
        <w:rPr>
          <w:rFonts w:hint="eastAsia"/>
        </w:rPr>
        <w:t>.</w:t>
      </w:r>
      <w:r>
        <w:rPr>
          <w:rFonts w:hint="eastAsia"/>
        </w:rPr>
        <w:t xml:space="preserve"> </w:t>
      </w:r>
      <w:r>
        <w:rPr>
          <w:rFonts w:hint="eastAsia"/>
        </w:rPr>
        <w:t>土地所有权和合法使用权，包括可能的权利变更；</w:t>
      </w:r>
    </w:p>
    <w:p w14:paraId="2570DEE3" w14:textId="77777777" w:rsidR="00B36C21" w:rsidRDefault="004A4C35" w:rsidP="00290FF6">
      <w:r>
        <w:rPr>
          <w:rFonts w:hint="eastAsia"/>
        </w:rPr>
        <w:t>1.2.3.3</w:t>
      </w:r>
      <w:r w:rsidR="00CC7FB6">
        <w:rPr>
          <w:rFonts w:hint="eastAsia"/>
        </w:rPr>
        <w:t>.</w:t>
      </w:r>
      <w:r>
        <w:rPr>
          <w:rFonts w:hint="eastAsia"/>
        </w:rPr>
        <w:t xml:space="preserve"> </w:t>
      </w:r>
      <w:r>
        <w:rPr>
          <w:rFonts w:hint="eastAsia"/>
        </w:rPr>
        <w:t>公众</w:t>
      </w:r>
      <w:r w:rsidR="003E44CF" w:rsidRPr="003E44CF">
        <w:rPr>
          <w:rFonts w:hint="eastAsia"/>
        </w:rPr>
        <w:t>参观</w:t>
      </w:r>
      <w:r>
        <w:rPr>
          <w:rFonts w:hint="eastAsia"/>
        </w:rPr>
        <w:t>和休闲的潜力；</w:t>
      </w:r>
    </w:p>
    <w:p w14:paraId="762360B6" w14:textId="77777777" w:rsidR="00B36C21" w:rsidRDefault="004A4C35" w:rsidP="00290FF6">
      <w:r>
        <w:rPr>
          <w:rFonts w:hint="eastAsia"/>
        </w:rPr>
        <w:t>1.2.3.4</w:t>
      </w:r>
      <w:r w:rsidR="00CC7FB6">
        <w:rPr>
          <w:rFonts w:hint="eastAsia"/>
        </w:rPr>
        <w:t>.</w:t>
      </w:r>
      <w:r>
        <w:rPr>
          <w:rFonts w:hint="eastAsia"/>
        </w:rPr>
        <w:t xml:space="preserve"> </w:t>
      </w:r>
      <w:r>
        <w:rPr>
          <w:rFonts w:hint="eastAsia"/>
        </w:rPr>
        <w:t>与采购</w:t>
      </w:r>
      <w:r w:rsidR="005D2B31">
        <w:rPr>
          <w:rFonts w:hint="eastAsia"/>
        </w:rPr>
        <w:t>、</w:t>
      </w:r>
      <w:r>
        <w:rPr>
          <w:rFonts w:hint="eastAsia"/>
        </w:rPr>
        <w:t>开发</w:t>
      </w:r>
      <w:r w:rsidR="005D2B31">
        <w:rPr>
          <w:rFonts w:hint="eastAsia"/>
        </w:rPr>
        <w:t>、</w:t>
      </w:r>
      <w:r>
        <w:rPr>
          <w:rFonts w:hint="eastAsia"/>
        </w:rPr>
        <w:t>修复</w:t>
      </w:r>
      <w:r w:rsidR="005D2B31">
        <w:rPr>
          <w:rFonts w:hint="eastAsia"/>
        </w:rPr>
        <w:t>、</w:t>
      </w:r>
      <w:r>
        <w:rPr>
          <w:rFonts w:hint="eastAsia"/>
        </w:rPr>
        <w:t>日常管理和操作相关的成本；</w:t>
      </w:r>
    </w:p>
    <w:p w14:paraId="46421370" w14:textId="77777777" w:rsidR="00B36C21" w:rsidRDefault="004A4C35" w:rsidP="00290FF6">
      <w:r>
        <w:rPr>
          <w:rFonts w:hint="eastAsia"/>
        </w:rPr>
        <w:t>1.2.3.5</w:t>
      </w:r>
      <w:r w:rsidR="00721EC4">
        <w:rPr>
          <w:rFonts w:hint="eastAsia"/>
        </w:rPr>
        <w:t>.</w:t>
      </w:r>
      <w:r>
        <w:rPr>
          <w:rFonts w:hint="eastAsia"/>
        </w:rPr>
        <w:t xml:space="preserve"> </w:t>
      </w:r>
      <w:r w:rsidR="003E44CF" w:rsidRPr="003E44CF">
        <w:rPr>
          <w:rFonts w:hint="eastAsia"/>
        </w:rPr>
        <w:t>参观</w:t>
      </w:r>
      <w:r>
        <w:rPr>
          <w:rFonts w:hint="eastAsia"/>
        </w:rPr>
        <w:t>（例如，进出的路线，导引，</w:t>
      </w:r>
      <w:r w:rsidRPr="003E44CF">
        <w:rPr>
          <w:rFonts w:hint="eastAsia"/>
        </w:rPr>
        <w:t>流通</w:t>
      </w:r>
      <w:r>
        <w:rPr>
          <w:rFonts w:hint="eastAsia"/>
        </w:rPr>
        <w:t>和服务）；</w:t>
      </w:r>
    </w:p>
    <w:p w14:paraId="6FF08A20" w14:textId="77777777" w:rsidR="00B36C21" w:rsidRDefault="004A4C35" w:rsidP="00290FF6">
      <w:r>
        <w:rPr>
          <w:rFonts w:hint="eastAsia"/>
        </w:rPr>
        <w:t>1.2.3.6</w:t>
      </w:r>
      <w:r w:rsidR="00721EC4">
        <w:rPr>
          <w:rFonts w:hint="eastAsia"/>
        </w:rPr>
        <w:t>.</w:t>
      </w:r>
      <w:r>
        <w:rPr>
          <w:rFonts w:hint="eastAsia"/>
        </w:rPr>
        <w:t xml:space="preserve"> </w:t>
      </w:r>
      <w:r w:rsidR="00F556C8">
        <w:rPr>
          <w:rFonts w:hint="eastAsia"/>
        </w:rPr>
        <w:t>对考古资源的现状恶化及</w:t>
      </w:r>
      <w:r>
        <w:rPr>
          <w:rFonts w:hint="eastAsia"/>
        </w:rPr>
        <w:t>原因的分析；</w:t>
      </w:r>
    </w:p>
    <w:p w14:paraId="79EFD0AD" w14:textId="77777777" w:rsidR="00B36C21" w:rsidRDefault="004A4C35" w:rsidP="00290FF6">
      <w:r>
        <w:rPr>
          <w:rFonts w:hint="eastAsia"/>
        </w:rPr>
        <w:t>1.2.3.7</w:t>
      </w:r>
      <w:r w:rsidR="00721EC4">
        <w:rPr>
          <w:rFonts w:hint="eastAsia"/>
        </w:rPr>
        <w:t>.</w:t>
      </w:r>
      <w:r>
        <w:rPr>
          <w:rFonts w:hint="eastAsia"/>
        </w:rPr>
        <w:t xml:space="preserve"> </w:t>
      </w:r>
      <w:r w:rsidR="00F556C8">
        <w:rPr>
          <w:rFonts w:hint="eastAsia"/>
        </w:rPr>
        <w:t>对</w:t>
      </w:r>
      <w:r>
        <w:rPr>
          <w:rFonts w:hint="eastAsia"/>
        </w:rPr>
        <w:t>考古资源当前和潜在的威胁；</w:t>
      </w:r>
    </w:p>
    <w:p w14:paraId="00258226" w14:textId="77777777" w:rsidR="00B36C21" w:rsidRDefault="004A4C35" w:rsidP="00290FF6">
      <w:r>
        <w:rPr>
          <w:rFonts w:hint="eastAsia"/>
        </w:rPr>
        <w:t>1.2.3.8</w:t>
      </w:r>
      <w:r w:rsidR="00721EC4">
        <w:rPr>
          <w:rFonts w:hint="eastAsia"/>
        </w:rPr>
        <w:t>.</w:t>
      </w:r>
      <w:r>
        <w:rPr>
          <w:rFonts w:hint="eastAsia"/>
        </w:rPr>
        <w:t xml:space="preserve"> </w:t>
      </w:r>
      <w:r>
        <w:rPr>
          <w:rFonts w:hint="eastAsia"/>
        </w:rPr>
        <w:t>地方和公众（例如企业，政府和土地所有者）支持的水平；</w:t>
      </w:r>
    </w:p>
    <w:p w14:paraId="39FEA4AD" w14:textId="77777777" w:rsidR="00B36C21" w:rsidRDefault="004A4C35" w:rsidP="00290FF6">
      <w:r>
        <w:rPr>
          <w:rFonts w:hint="eastAsia"/>
        </w:rPr>
        <w:t>1.2.3.9</w:t>
      </w:r>
      <w:r w:rsidR="00721EC4">
        <w:rPr>
          <w:rFonts w:hint="eastAsia"/>
        </w:rPr>
        <w:t>.</w:t>
      </w:r>
      <w:r w:rsidR="00F556C8">
        <w:rPr>
          <w:rFonts w:hint="eastAsia"/>
        </w:rPr>
        <w:t xml:space="preserve"> </w:t>
      </w:r>
      <w:r w:rsidR="00F556C8">
        <w:rPr>
          <w:rFonts w:hint="eastAsia"/>
        </w:rPr>
        <w:t>保护地位</w:t>
      </w:r>
      <w:r w:rsidR="003E44CF" w:rsidRPr="003E44CF">
        <w:rPr>
          <w:rFonts w:hint="eastAsia"/>
        </w:rPr>
        <w:t>所产生</w:t>
      </w:r>
      <w:r>
        <w:rPr>
          <w:rFonts w:hint="eastAsia"/>
        </w:rPr>
        <w:t>的社会</w:t>
      </w:r>
      <w:r w:rsidR="000557F3">
        <w:rPr>
          <w:rFonts w:hint="eastAsia"/>
        </w:rPr>
        <w:t>、政治、</w:t>
      </w:r>
      <w:r>
        <w:rPr>
          <w:rFonts w:hint="eastAsia"/>
        </w:rPr>
        <w:t>环境和经济影响；</w:t>
      </w:r>
    </w:p>
    <w:p w14:paraId="79005584" w14:textId="77777777" w:rsidR="00B36C21" w:rsidRDefault="004A4C35" w:rsidP="00290FF6">
      <w:r>
        <w:rPr>
          <w:rFonts w:hint="eastAsia"/>
        </w:rPr>
        <w:t>1.2.3.10</w:t>
      </w:r>
      <w:r w:rsidR="00721EC4">
        <w:rPr>
          <w:rFonts w:hint="eastAsia"/>
        </w:rPr>
        <w:t>.</w:t>
      </w:r>
      <w:r>
        <w:rPr>
          <w:rFonts w:hint="eastAsia"/>
        </w:rPr>
        <w:t>公</w:t>
      </w:r>
      <w:r w:rsidR="00F556C8">
        <w:rPr>
          <w:rFonts w:hint="eastAsia"/>
        </w:rPr>
        <w:t>众考古遗址的建立对公共福利</w:t>
      </w:r>
      <w:r>
        <w:rPr>
          <w:rFonts w:hint="eastAsia"/>
        </w:rPr>
        <w:t>，如自然和社会环境质量</w:t>
      </w:r>
      <w:r w:rsidR="000557F3">
        <w:rPr>
          <w:rFonts w:hint="eastAsia"/>
        </w:rPr>
        <w:t>、教育、</w:t>
      </w:r>
      <w:r>
        <w:rPr>
          <w:rFonts w:hint="eastAsia"/>
        </w:rPr>
        <w:t>健康和安全服务的提升方式和程度。</w:t>
      </w:r>
    </w:p>
    <w:p w14:paraId="1CDD9AEC" w14:textId="77777777" w:rsidR="00B36C21" w:rsidRDefault="004A4C35" w:rsidP="00290FF6">
      <w:r>
        <w:rPr>
          <w:rFonts w:hint="eastAsia"/>
          <w:i/>
          <w:iCs/>
        </w:rPr>
        <w:t>1.2.4</w:t>
      </w:r>
      <w:r w:rsidR="00721EC4">
        <w:rPr>
          <w:rFonts w:hint="eastAsia"/>
          <w:i/>
          <w:iCs/>
        </w:rPr>
        <w:t>.</w:t>
      </w:r>
      <w:r>
        <w:rPr>
          <w:rFonts w:hint="eastAsia"/>
          <w:i/>
          <w:iCs/>
        </w:rPr>
        <w:t xml:space="preserve"> </w:t>
      </w:r>
      <w:r>
        <w:rPr>
          <w:rFonts w:hint="eastAsia"/>
          <w:i/>
          <w:iCs/>
        </w:rPr>
        <w:t>缓冲区。</w:t>
      </w:r>
      <w:r>
        <w:rPr>
          <w:rFonts w:hint="eastAsia"/>
        </w:rPr>
        <w:t>缓冲区边界也应当准确并且记录完整。</w:t>
      </w:r>
    </w:p>
    <w:p w14:paraId="7C8D0DD9" w14:textId="77777777" w:rsidR="00B36C21" w:rsidRDefault="004A4C35" w:rsidP="00290FF6">
      <w:r>
        <w:rPr>
          <w:rFonts w:hint="eastAsia"/>
        </w:rPr>
        <w:t>1.2.4.1</w:t>
      </w:r>
      <w:r w:rsidR="00721EC4">
        <w:rPr>
          <w:rFonts w:hint="eastAsia"/>
        </w:rPr>
        <w:t>.</w:t>
      </w:r>
      <w:r>
        <w:rPr>
          <w:rFonts w:hint="eastAsia"/>
        </w:rPr>
        <w:t xml:space="preserve"> </w:t>
      </w:r>
      <w:r w:rsidR="006F7284">
        <w:rPr>
          <w:rFonts w:hint="eastAsia"/>
        </w:rPr>
        <w:t>由于单独的缓冲区通常不足以确保免于被侵占，因此应与社区和政府实体沟通协商并达成协议，以</w:t>
      </w:r>
      <w:r>
        <w:rPr>
          <w:rFonts w:hint="eastAsia"/>
        </w:rPr>
        <w:t>实现这一目标。</w:t>
      </w:r>
    </w:p>
    <w:p w14:paraId="4A592DED" w14:textId="77777777" w:rsidR="002B26C4" w:rsidRDefault="004A4C35" w:rsidP="00290FF6">
      <w:r>
        <w:rPr>
          <w:rFonts w:hint="eastAsia"/>
          <w:i/>
          <w:iCs/>
        </w:rPr>
        <w:t>1.2.5</w:t>
      </w:r>
      <w:r w:rsidR="00721EC4">
        <w:rPr>
          <w:rFonts w:hint="eastAsia"/>
          <w:i/>
          <w:iCs/>
        </w:rPr>
        <w:t>.</w:t>
      </w:r>
      <w:r>
        <w:rPr>
          <w:rFonts w:hint="eastAsia"/>
          <w:i/>
          <w:iCs/>
        </w:rPr>
        <w:t xml:space="preserve"> </w:t>
      </w:r>
      <w:r>
        <w:rPr>
          <w:rFonts w:hint="eastAsia"/>
          <w:i/>
          <w:iCs/>
        </w:rPr>
        <w:t>管理区。</w:t>
      </w:r>
      <w:r>
        <w:rPr>
          <w:rFonts w:hint="eastAsia"/>
        </w:rPr>
        <w:t>每个遗址内，应建立管理区，并且应确认以下内容：</w:t>
      </w:r>
    </w:p>
    <w:p w14:paraId="5A43ACBF" w14:textId="77777777" w:rsidR="00B36C21" w:rsidRDefault="004A4C35" w:rsidP="00290FF6">
      <w:r>
        <w:rPr>
          <w:rFonts w:hint="eastAsia"/>
        </w:rPr>
        <w:t>1.2.5.1</w:t>
      </w:r>
      <w:r w:rsidR="00721EC4">
        <w:rPr>
          <w:rFonts w:hint="eastAsia"/>
        </w:rPr>
        <w:t>.</w:t>
      </w:r>
      <w:r>
        <w:rPr>
          <w:rFonts w:hint="eastAsia"/>
        </w:rPr>
        <w:t xml:space="preserve"> </w:t>
      </w:r>
      <w:r w:rsidR="006F7284">
        <w:rPr>
          <w:rFonts w:hint="eastAsia"/>
        </w:rPr>
        <w:t>期望</w:t>
      </w:r>
      <w:r>
        <w:rPr>
          <w:rFonts w:hint="eastAsia"/>
        </w:rPr>
        <w:t>用途</w:t>
      </w:r>
      <w:r w:rsidR="000557F3">
        <w:rPr>
          <w:rFonts w:hint="eastAsia"/>
        </w:rPr>
        <w:t>；</w:t>
      </w:r>
    </w:p>
    <w:p w14:paraId="7146F872" w14:textId="77777777" w:rsidR="00B36C21" w:rsidRDefault="004A4C35" w:rsidP="00290FF6">
      <w:r>
        <w:rPr>
          <w:rFonts w:hint="eastAsia"/>
        </w:rPr>
        <w:t>1.2.5.2</w:t>
      </w:r>
      <w:r w:rsidR="00721EC4">
        <w:rPr>
          <w:rFonts w:hint="eastAsia"/>
        </w:rPr>
        <w:t>.</w:t>
      </w:r>
      <w:r>
        <w:rPr>
          <w:rFonts w:hint="eastAsia"/>
        </w:rPr>
        <w:t xml:space="preserve"> </w:t>
      </w:r>
      <w:r>
        <w:rPr>
          <w:rFonts w:hint="eastAsia"/>
        </w:rPr>
        <w:t>所需条件</w:t>
      </w:r>
      <w:r w:rsidR="000557F3">
        <w:rPr>
          <w:rFonts w:hint="eastAsia"/>
        </w:rPr>
        <w:t>；</w:t>
      </w:r>
    </w:p>
    <w:p w14:paraId="4AB61E2E" w14:textId="77777777" w:rsidR="00B36C21" w:rsidRDefault="004A4C35" w:rsidP="00290FF6">
      <w:r>
        <w:rPr>
          <w:rFonts w:hint="eastAsia"/>
        </w:rPr>
        <w:t>1.2.5.3</w:t>
      </w:r>
      <w:r w:rsidR="00721EC4">
        <w:rPr>
          <w:rFonts w:hint="eastAsia"/>
        </w:rPr>
        <w:t>.</w:t>
      </w:r>
      <w:r>
        <w:rPr>
          <w:rFonts w:hint="eastAsia"/>
        </w:rPr>
        <w:t xml:space="preserve"> </w:t>
      </w:r>
      <w:r>
        <w:rPr>
          <w:rFonts w:hint="eastAsia"/>
        </w:rPr>
        <w:t>必要的游客服务</w:t>
      </w:r>
      <w:r w:rsidR="000557F3">
        <w:rPr>
          <w:rFonts w:hint="eastAsia"/>
        </w:rPr>
        <w:t>；</w:t>
      </w:r>
    </w:p>
    <w:p w14:paraId="47B0B2C9" w14:textId="77777777" w:rsidR="00B36C21" w:rsidRDefault="004A4C35" w:rsidP="00290FF6">
      <w:r>
        <w:rPr>
          <w:rFonts w:hint="eastAsia"/>
        </w:rPr>
        <w:t>1.2.5.4</w:t>
      </w:r>
      <w:r w:rsidR="00721EC4">
        <w:rPr>
          <w:rFonts w:hint="eastAsia"/>
        </w:rPr>
        <w:t>.</w:t>
      </w:r>
      <w:r>
        <w:rPr>
          <w:rFonts w:hint="eastAsia"/>
        </w:rPr>
        <w:t xml:space="preserve"> </w:t>
      </w:r>
      <w:r>
        <w:rPr>
          <w:rFonts w:hint="eastAsia"/>
        </w:rPr>
        <w:t>阐释主题（即应在每个区域呈现的信息）。</w:t>
      </w:r>
    </w:p>
    <w:p w14:paraId="60C7AE52" w14:textId="77777777" w:rsidR="00CC7FB6" w:rsidRDefault="00CC7FB6" w:rsidP="00290FF6"/>
    <w:p w14:paraId="67776FCE" w14:textId="77777777" w:rsidR="00B36C21" w:rsidRDefault="004A4C35" w:rsidP="00290FF6">
      <w:pPr>
        <w:pStyle w:val="3"/>
      </w:pPr>
      <w:r>
        <w:rPr>
          <w:rFonts w:hint="eastAsia"/>
        </w:rPr>
        <w:t>1.3</w:t>
      </w:r>
      <w:r w:rsidR="00CC7FB6">
        <w:rPr>
          <w:rFonts w:hint="eastAsia"/>
        </w:rPr>
        <w:t>.</w:t>
      </w:r>
      <w:r>
        <w:rPr>
          <w:rFonts w:hint="eastAsia"/>
        </w:rPr>
        <w:t xml:space="preserve"> 环境影响评估或环境影响研究</w:t>
      </w:r>
    </w:p>
    <w:p w14:paraId="6C0920E1" w14:textId="77777777" w:rsidR="00B36C21" w:rsidRDefault="004A4C35" w:rsidP="00290FF6">
      <w:r>
        <w:rPr>
          <w:rFonts w:hint="eastAsia"/>
          <w:i/>
          <w:iCs/>
        </w:rPr>
        <w:t xml:space="preserve">1.3.1 </w:t>
      </w:r>
      <w:r>
        <w:rPr>
          <w:rFonts w:hint="eastAsia"/>
          <w:i/>
          <w:iCs/>
        </w:rPr>
        <w:t>环境影响。</w:t>
      </w:r>
      <w:r>
        <w:rPr>
          <w:rFonts w:hint="eastAsia"/>
        </w:rPr>
        <w:t>应对任何可能影响环境质量的开发活动进行环境影响评估或环境影响研究。</w:t>
      </w:r>
    </w:p>
    <w:p w14:paraId="353F38EC" w14:textId="77777777" w:rsidR="00B36C21" w:rsidRDefault="004A4C35" w:rsidP="00290FF6">
      <w:r>
        <w:rPr>
          <w:rFonts w:hint="eastAsia"/>
        </w:rPr>
        <w:t xml:space="preserve">1.3.2 </w:t>
      </w:r>
      <w:r>
        <w:rPr>
          <w:rFonts w:hint="eastAsia"/>
          <w:i/>
          <w:iCs/>
        </w:rPr>
        <w:t>环境影响的经济后果。</w:t>
      </w:r>
      <w:r>
        <w:rPr>
          <w:rFonts w:hint="eastAsia"/>
        </w:rPr>
        <w:t>环境影响评估或环境影响研究应包括一份经济分析，分析个人、企业、社会团体以及地方的、区域的、国家的乃至全球的公众可能受到的潜在经济效益和经济</w:t>
      </w:r>
      <w:r w:rsidRPr="00235089">
        <w:rPr>
          <w:rFonts w:hint="eastAsia"/>
        </w:rPr>
        <w:t>负债</w:t>
      </w:r>
      <w:r>
        <w:rPr>
          <w:rFonts w:hint="eastAsia"/>
        </w:rPr>
        <w:t>。</w:t>
      </w:r>
    </w:p>
    <w:p w14:paraId="55777FD6" w14:textId="77777777" w:rsidR="00B36C21" w:rsidRDefault="00B36C21" w:rsidP="00290FF6"/>
    <w:p w14:paraId="6470273B" w14:textId="77777777" w:rsidR="00B36C21" w:rsidRDefault="00CC7FB6">
      <w:pPr>
        <w:pStyle w:val="3"/>
      </w:pPr>
      <w:r>
        <w:rPr>
          <w:rFonts w:hint="eastAsia"/>
        </w:rPr>
        <w:t>1.4</w:t>
      </w:r>
      <w:r w:rsidR="002B26C4">
        <w:rPr>
          <w:rFonts w:hint="eastAsia"/>
        </w:rPr>
        <w:t>.</w:t>
      </w:r>
      <w:r w:rsidR="004A4C35">
        <w:rPr>
          <w:rFonts w:hint="eastAsia"/>
        </w:rPr>
        <w:t xml:space="preserve"> 监测规划 </w:t>
      </w:r>
    </w:p>
    <w:p w14:paraId="3D9DF141" w14:textId="77777777" w:rsidR="00B36C21" w:rsidRDefault="004A4C35">
      <w:r>
        <w:rPr>
          <w:rFonts w:hint="eastAsia"/>
          <w:i/>
          <w:iCs/>
        </w:rPr>
        <w:t>1.</w:t>
      </w:r>
      <w:r w:rsidR="00CC7FB6">
        <w:rPr>
          <w:rFonts w:hint="eastAsia"/>
          <w:i/>
          <w:iCs/>
        </w:rPr>
        <w:t>4</w:t>
      </w:r>
      <w:r>
        <w:rPr>
          <w:rFonts w:hint="eastAsia"/>
          <w:i/>
          <w:iCs/>
        </w:rPr>
        <w:t xml:space="preserve">.1. </w:t>
      </w:r>
      <w:r>
        <w:rPr>
          <w:rFonts w:hint="eastAsia"/>
          <w:i/>
          <w:iCs/>
        </w:rPr>
        <w:t>监测规划。</w:t>
      </w:r>
      <w:r w:rsidR="004029EA">
        <w:rPr>
          <w:rFonts w:hint="eastAsia"/>
        </w:rPr>
        <w:t>监测规划应具体明确用来监测以下内容的技术、协议、工具、指标和</w:t>
      </w:r>
      <w:r w:rsidRPr="007B6E85">
        <w:rPr>
          <w:rFonts w:hint="eastAsia"/>
        </w:rPr>
        <w:t>标准：</w:t>
      </w:r>
    </w:p>
    <w:p w14:paraId="6F3D16E3" w14:textId="77777777" w:rsidR="00B36C21" w:rsidRDefault="004A4C35">
      <w:r>
        <w:rPr>
          <w:rFonts w:hint="eastAsia"/>
        </w:rPr>
        <w:t>1.</w:t>
      </w:r>
      <w:r w:rsidR="00CC7FB6">
        <w:rPr>
          <w:rFonts w:hint="eastAsia"/>
        </w:rPr>
        <w:t>4</w:t>
      </w:r>
      <w:r>
        <w:rPr>
          <w:rFonts w:hint="eastAsia"/>
        </w:rPr>
        <w:t>.1.1</w:t>
      </w:r>
      <w:r w:rsidR="002B26C4">
        <w:rPr>
          <w:rFonts w:hint="eastAsia"/>
        </w:rPr>
        <w:t>.</w:t>
      </w:r>
      <w:r>
        <w:rPr>
          <w:rFonts w:hint="eastAsia"/>
        </w:rPr>
        <w:t xml:space="preserve"> </w:t>
      </w:r>
      <w:r>
        <w:rPr>
          <w:rFonts w:hint="eastAsia"/>
        </w:rPr>
        <w:t>各类文化资源的状况；</w:t>
      </w:r>
      <w:r>
        <w:rPr>
          <w:rFonts w:hint="eastAsia"/>
        </w:rPr>
        <w:t xml:space="preserve"> </w:t>
      </w:r>
    </w:p>
    <w:p w14:paraId="15A3FF39" w14:textId="77777777" w:rsidR="00B36C21" w:rsidRDefault="004A4C35">
      <w:r>
        <w:rPr>
          <w:rFonts w:hint="eastAsia"/>
        </w:rPr>
        <w:t>1.</w:t>
      </w:r>
      <w:r w:rsidR="00CC7FB6">
        <w:rPr>
          <w:rFonts w:hint="eastAsia"/>
        </w:rPr>
        <w:t>4</w:t>
      </w:r>
      <w:r>
        <w:rPr>
          <w:rFonts w:hint="eastAsia"/>
        </w:rPr>
        <w:t>.1.2</w:t>
      </w:r>
      <w:r w:rsidR="002B26C4">
        <w:rPr>
          <w:rFonts w:hint="eastAsia"/>
        </w:rPr>
        <w:t>.</w:t>
      </w:r>
      <w:r>
        <w:rPr>
          <w:rFonts w:hint="eastAsia"/>
        </w:rPr>
        <w:t xml:space="preserve"> </w:t>
      </w:r>
      <w:r>
        <w:rPr>
          <w:rFonts w:hint="eastAsia"/>
        </w:rPr>
        <w:t>各类自然资源的状况；</w:t>
      </w:r>
    </w:p>
    <w:p w14:paraId="4F82F1D1" w14:textId="77777777" w:rsidR="00B36C21" w:rsidRDefault="004A4C35">
      <w:r>
        <w:rPr>
          <w:rFonts w:hint="eastAsia"/>
        </w:rPr>
        <w:t>1.</w:t>
      </w:r>
      <w:r w:rsidR="00CC7FB6">
        <w:rPr>
          <w:rFonts w:hint="eastAsia"/>
        </w:rPr>
        <w:t>4</w:t>
      </w:r>
      <w:r>
        <w:rPr>
          <w:rFonts w:hint="eastAsia"/>
        </w:rPr>
        <w:t>.1.3</w:t>
      </w:r>
      <w:r w:rsidR="002B26C4">
        <w:rPr>
          <w:rFonts w:hint="eastAsia"/>
        </w:rPr>
        <w:t>.</w:t>
      </w:r>
      <w:r>
        <w:rPr>
          <w:rFonts w:hint="eastAsia"/>
        </w:rPr>
        <w:t xml:space="preserve"> </w:t>
      </w:r>
      <w:r>
        <w:rPr>
          <w:rFonts w:hint="eastAsia"/>
        </w:rPr>
        <w:t>游客数量、</w:t>
      </w:r>
      <w:r w:rsidR="007B6E85" w:rsidRPr="007B6E85">
        <w:rPr>
          <w:rFonts w:hint="eastAsia"/>
        </w:rPr>
        <w:t>容量</w:t>
      </w:r>
      <w:r>
        <w:rPr>
          <w:rFonts w:hint="eastAsia"/>
        </w:rPr>
        <w:t>和满意度；</w:t>
      </w:r>
    </w:p>
    <w:p w14:paraId="6D83BD09" w14:textId="77777777" w:rsidR="00B36C21" w:rsidRDefault="004A4C35">
      <w:r>
        <w:rPr>
          <w:rFonts w:hint="eastAsia"/>
        </w:rPr>
        <w:t>1.</w:t>
      </w:r>
      <w:r w:rsidR="00CC7FB6">
        <w:rPr>
          <w:rFonts w:hint="eastAsia"/>
        </w:rPr>
        <w:t>4</w:t>
      </w:r>
      <w:r>
        <w:rPr>
          <w:rFonts w:hint="eastAsia"/>
        </w:rPr>
        <w:t>.1.4</w:t>
      </w:r>
      <w:r w:rsidR="002B26C4">
        <w:rPr>
          <w:rFonts w:hint="eastAsia"/>
        </w:rPr>
        <w:t>.</w:t>
      </w:r>
      <w:r>
        <w:rPr>
          <w:rFonts w:hint="eastAsia"/>
        </w:rPr>
        <w:t xml:space="preserve"> </w:t>
      </w:r>
      <w:r>
        <w:rPr>
          <w:rFonts w:hint="eastAsia"/>
        </w:rPr>
        <w:t>社区满意度；</w:t>
      </w:r>
    </w:p>
    <w:p w14:paraId="71F7E180" w14:textId="77777777" w:rsidR="00B36C21" w:rsidRDefault="004A4C35">
      <w:r>
        <w:rPr>
          <w:rFonts w:hint="eastAsia"/>
        </w:rPr>
        <w:t>1.</w:t>
      </w:r>
      <w:r w:rsidR="00CC7FB6">
        <w:rPr>
          <w:rFonts w:hint="eastAsia"/>
        </w:rPr>
        <w:t>4</w:t>
      </w:r>
      <w:r>
        <w:rPr>
          <w:rFonts w:hint="eastAsia"/>
        </w:rPr>
        <w:t>.1.5</w:t>
      </w:r>
      <w:r w:rsidR="002B26C4">
        <w:rPr>
          <w:rFonts w:hint="eastAsia"/>
        </w:rPr>
        <w:t xml:space="preserve">. </w:t>
      </w:r>
      <w:r>
        <w:rPr>
          <w:rFonts w:hint="eastAsia"/>
        </w:rPr>
        <w:t>设备和基础设施条件。</w:t>
      </w:r>
    </w:p>
    <w:p w14:paraId="4D92E69B" w14:textId="77777777" w:rsidR="00B36C21" w:rsidRDefault="004A4C35">
      <w:r>
        <w:rPr>
          <w:rFonts w:hint="eastAsia"/>
          <w:i/>
          <w:iCs/>
        </w:rPr>
        <w:t>1.</w:t>
      </w:r>
      <w:r w:rsidR="00CC7FB6">
        <w:rPr>
          <w:rFonts w:hint="eastAsia"/>
          <w:i/>
          <w:iCs/>
        </w:rPr>
        <w:t>4</w:t>
      </w:r>
      <w:r>
        <w:rPr>
          <w:rFonts w:hint="eastAsia"/>
          <w:i/>
          <w:iCs/>
        </w:rPr>
        <w:t>.2</w:t>
      </w:r>
      <w:r w:rsidR="002B26C4">
        <w:rPr>
          <w:rFonts w:hint="eastAsia"/>
          <w:i/>
          <w:iCs/>
        </w:rPr>
        <w:t xml:space="preserve">. </w:t>
      </w:r>
      <w:r>
        <w:rPr>
          <w:rFonts w:hint="eastAsia"/>
          <w:i/>
          <w:iCs/>
        </w:rPr>
        <w:t>监测重点。</w:t>
      </w:r>
      <w:r w:rsidR="004029EA">
        <w:rPr>
          <w:rFonts w:hint="eastAsia"/>
        </w:rPr>
        <w:t>监测重点的确定应通过考虑以下</w:t>
      </w:r>
      <w:r>
        <w:rPr>
          <w:rFonts w:hint="eastAsia"/>
        </w:rPr>
        <w:t>资源和</w:t>
      </w:r>
      <w:r w:rsidR="00CA77F9">
        <w:rPr>
          <w:rFonts w:hint="eastAsia"/>
        </w:rPr>
        <w:t>体验</w:t>
      </w:r>
      <w:r>
        <w:rPr>
          <w:rFonts w:hint="eastAsia"/>
        </w:rPr>
        <w:t>：</w:t>
      </w:r>
    </w:p>
    <w:p w14:paraId="17A5B2EF" w14:textId="77777777" w:rsidR="00B36C21" w:rsidRDefault="004A4C35">
      <w:r w:rsidRPr="00664A71">
        <w:rPr>
          <w:rFonts w:hint="eastAsia"/>
        </w:rPr>
        <w:t>1.</w:t>
      </w:r>
      <w:r w:rsidR="00CC7FB6">
        <w:rPr>
          <w:rFonts w:hint="eastAsia"/>
        </w:rPr>
        <w:t>4</w:t>
      </w:r>
      <w:r w:rsidRPr="00664A71">
        <w:rPr>
          <w:rFonts w:hint="eastAsia"/>
        </w:rPr>
        <w:t>.2.1</w:t>
      </w:r>
      <w:r w:rsidR="002B26C4">
        <w:rPr>
          <w:rFonts w:hint="eastAsia"/>
        </w:rPr>
        <w:t xml:space="preserve">. </w:t>
      </w:r>
      <w:r w:rsidR="004029EA">
        <w:rPr>
          <w:rFonts w:hint="eastAsia"/>
        </w:rPr>
        <w:t>对遗</w:t>
      </w:r>
      <w:r w:rsidR="00F77643">
        <w:rPr>
          <w:rFonts w:hint="eastAsia"/>
        </w:rPr>
        <w:t>产</w:t>
      </w:r>
      <w:r w:rsidR="004029EA">
        <w:rPr>
          <w:rFonts w:hint="eastAsia"/>
        </w:rPr>
        <w:t>自然或文化完整性以及</w:t>
      </w:r>
      <w:r w:rsidRPr="00664A71">
        <w:rPr>
          <w:rFonts w:hint="eastAsia"/>
        </w:rPr>
        <w:t>享受遗址的机会具有关键作用；</w:t>
      </w:r>
    </w:p>
    <w:p w14:paraId="4ACE4082" w14:textId="77777777" w:rsidR="00B36C21" w:rsidRPr="00664A71" w:rsidRDefault="004A4C35">
      <w:r>
        <w:rPr>
          <w:rFonts w:hint="eastAsia"/>
        </w:rPr>
        <w:lastRenderedPageBreak/>
        <w:t>1.</w:t>
      </w:r>
      <w:r w:rsidR="00CC7FB6">
        <w:rPr>
          <w:rFonts w:hint="eastAsia"/>
        </w:rPr>
        <w:t>4</w:t>
      </w:r>
      <w:r>
        <w:rPr>
          <w:rFonts w:hint="eastAsia"/>
        </w:rPr>
        <w:t>.2.2</w:t>
      </w:r>
      <w:r w:rsidR="002B26C4">
        <w:rPr>
          <w:rFonts w:hint="eastAsia"/>
        </w:rPr>
        <w:t xml:space="preserve">. </w:t>
      </w:r>
      <w:r w:rsidR="004029EA">
        <w:rPr>
          <w:rFonts w:hint="eastAsia"/>
        </w:rPr>
        <w:t>对保持遗址曾符合</w:t>
      </w:r>
      <w:r>
        <w:rPr>
          <w:rFonts w:hint="eastAsia"/>
        </w:rPr>
        <w:t>突出普遍价值的标准具有关键作用；</w:t>
      </w:r>
    </w:p>
    <w:p w14:paraId="658D9237" w14:textId="77777777" w:rsidR="00B36C21" w:rsidRDefault="004A4C35">
      <w:r>
        <w:rPr>
          <w:rFonts w:hint="eastAsia"/>
        </w:rPr>
        <w:t>1.</w:t>
      </w:r>
      <w:r w:rsidR="00CC7FB6">
        <w:rPr>
          <w:rFonts w:hint="eastAsia"/>
        </w:rPr>
        <w:t>4</w:t>
      </w:r>
      <w:r>
        <w:rPr>
          <w:rFonts w:hint="eastAsia"/>
        </w:rPr>
        <w:t>.2.3</w:t>
      </w:r>
      <w:r w:rsidR="002B26C4">
        <w:rPr>
          <w:rFonts w:hint="eastAsia"/>
        </w:rPr>
        <w:t>.</w:t>
      </w:r>
      <w:r>
        <w:rPr>
          <w:rFonts w:hint="eastAsia"/>
        </w:rPr>
        <w:t xml:space="preserve"> </w:t>
      </w:r>
      <w:r>
        <w:rPr>
          <w:rFonts w:hint="eastAsia"/>
        </w:rPr>
        <w:t>在遗址一般管理规划或其他相关规划文件中</w:t>
      </w:r>
      <w:r w:rsidR="004029EA">
        <w:rPr>
          <w:rFonts w:hint="eastAsia"/>
        </w:rPr>
        <w:t>被</w:t>
      </w:r>
      <w:r>
        <w:rPr>
          <w:rFonts w:hint="eastAsia"/>
        </w:rPr>
        <w:t>确定为重点。</w:t>
      </w:r>
    </w:p>
    <w:p w14:paraId="032F43C4" w14:textId="77777777" w:rsidR="00B36C21" w:rsidRDefault="00B36C21"/>
    <w:p w14:paraId="47476C60" w14:textId="77777777" w:rsidR="00B36C21" w:rsidRDefault="004A4C35">
      <w:pPr>
        <w:pStyle w:val="3"/>
      </w:pPr>
      <w:r>
        <w:rPr>
          <w:rFonts w:hint="eastAsia"/>
        </w:rPr>
        <w:t>1.</w:t>
      </w:r>
      <w:r w:rsidR="00CC7FB6">
        <w:rPr>
          <w:rFonts w:hint="eastAsia"/>
        </w:rPr>
        <w:t>5.</w:t>
      </w:r>
      <w:r>
        <w:rPr>
          <w:rFonts w:hint="eastAsia"/>
        </w:rPr>
        <w:t xml:space="preserve"> 考古研究计划</w:t>
      </w:r>
    </w:p>
    <w:p w14:paraId="1A15853B" w14:textId="77777777" w:rsidR="00B36C21" w:rsidRDefault="004A4C35">
      <w:r>
        <w:rPr>
          <w:rFonts w:hint="eastAsia"/>
          <w:i/>
          <w:iCs/>
        </w:rPr>
        <w:t>1.</w:t>
      </w:r>
      <w:r w:rsidR="00CC7FB6">
        <w:rPr>
          <w:rFonts w:hint="eastAsia"/>
          <w:i/>
          <w:iCs/>
        </w:rPr>
        <w:t>5</w:t>
      </w:r>
      <w:r>
        <w:rPr>
          <w:rFonts w:hint="eastAsia"/>
          <w:i/>
          <w:iCs/>
        </w:rPr>
        <w:t>.1</w:t>
      </w:r>
      <w:r w:rsidR="002B26C4">
        <w:rPr>
          <w:rFonts w:hint="eastAsia"/>
          <w:i/>
          <w:iCs/>
        </w:rPr>
        <w:t>.</w:t>
      </w:r>
      <w:r>
        <w:rPr>
          <w:rFonts w:hint="eastAsia"/>
          <w:i/>
          <w:iCs/>
        </w:rPr>
        <w:t xml:space="preserve"> </w:t>
      </w:r>
      <w:r>
        <w:rPr>
          <w:rFonts w:hint="eastAsia"/>
          <w:i/>
          <w:iCs/>
        </w:rPr>
        <w:t>考古研究计划。</w:t>
      </w:r>
      <w:r>
        <w:rPr>
          <w:rFonts w:hint="eastAsia"/>
        </w:rPr>
        <w:t>应制定计划，包括研究重点，以</w:t>
      </w:r>
      <w:r w:rsidR="002D7B0C">
        <w:rPr>
          <w:rFonts w:hint="eastAsia"/>
        </w:rPr>
        <w:t>研究减轻自然过程（如洪水）和人为活动（如掠夺或开发）对考古资源扰动</w:t>
      </w:r>
      <w:r>
        <w:rPr>
          <w:rFonts w:hint="eastAsia"/>
        </w:rPr>
        <w:t>。计划还应确定与遗址重要性相关的考古学研究，特别是可能与考古学领域、当代环境政策和国际关系的提升有重大关系的议题的研究。</w:t>
      </w:r>
    </w:p>
    <w:p w14:paraId="46A4F78F" w14:textId="77777777" w:rsidR="00B36C21" w:rsidRDefault="00B36C21"/>
    <w:p w14:paraId="41B9FB98" w14:textId="77777777" w:rsidR="00B36C21" w:rsidRDefault="004A4C35">
      <w:pPr>
        <w:pStyle w:val="3"/>
      </w:pPr>
      <w:r>
        <w:rPr>
          <w:rFonts w:hint="eastAsia"/>
        </w:rPr>
        <w:t>1.</w:t>
      </w:r>
      <w:r w:rsidR="002B26C4">
        <w:rPr>
          <w:rFonts w:hint="eastAsia"/>
        </w:rPr>
        <w:t>6</w:t>
      </w:r>
      <w:r>
        <w:rPr>
          <w:rFonts w:hint="eastAsia"/>
        </w:rPr>
        <w:t>. 阐释方案</w:t>
      </w:r>
    </w:p>
    <w:p w14:paraId="16F5DD79" w14:textId="77777777" w:rsidR="00B36C21" w:rsidRDefault="004A4C35">
      <w:r>
        <w:rPr>
          <w:rFonts w:hint="eastAsia"/>
          <w:i/>
          <w:iCs/>
        </w:rPr>
        <w:t>1.</w:t>
      </w:r>
      <w:r w:rsidR="002B26C4">
        <w:rPr>
          <w:rFonts w:hint="eastAsia"/>
          <w:i/>
          <w:iCs/>
        </w:rPr>
        <w:t>6</w:t>
      </w:r>
      <w:r>
        <w:rPr>
          <w:rFonts w:hint="eastAsia"/>
          <w:i/>
          <w:iCs/>
        </w:rPr>
        <w:t>.1</w:t>
      </w:r>
      <w:r w:rsidR="00721EC4">
        <w:rPr>
          <w:rFonts w:hint="eastAsia"/>
          <w:i/>
          <w:iCs/>
        </w:rPr>
        <w:t>.</w:t>
      </w:r>
      <w:r>
        <w:rPr>
          <w:rFonts w:hint="eastAsia"/>
          <w:i/>
          <w:iCs/>
        </w:rPr>
        <w:t xml:space="preserve"> </w:t>
      </w:r>
      <w:r>
        <w:rPr>
          <w:rFonts w:hint="eastAsia"/>
          <w:i/>
          <w:iCs/>
        </w:rPr>
        <w:t>阐释方案。</w:t>
      </w:r>
      <w:r>
        <w:rPr>
          <w:rFonts w:hint="eastAsia"/>
        </w:rPr>
        <w:t>应准备阐释方案，方案应确定一个最有助于实现遗址教学功能的阐释主题和子主题。方案应至少每五年更新一次。</w:t>
      </w:r>
    </w:p>
    <w:p w14:paraId="713E29F8" w14:textId="77777777" w:rsidR="00B36C21" w:rsidRDefault="00B36C21"/>
    <w:p w14:paraId="78DD0614" w14:textId="77777777" w:rsidR="00B36C21" w:rsidRDefault="004A4C35">
      <w:pPr>
        <w:pStyle w:val="3"/>
      </w:pPr>
      <w:r>
        <w:rPr>
          <w:rFonts w:hint="eastAsia"/>
        </w:rPr>
        <w:t>1.</w:t>
      </w:r>
      <w:r w:rsidR="002B26C4">
        <w:rPr>
          <w:rFonts w:hint="eastAsia"/>
        </w:rPr>
        <w:t>7</w:t>
      </w:r>
      <w:r w:rsidR="00721EC4">
        <w:rPr>
          <w:rFonts w:hint="eastAsia"/>
        </w:rPr>
        <w:t>．</w:t>
      </w:r>
      <w:r>
        <w:rPr>
          <w:rFonts w:hint="eastAsia"/>
        </w:rPr>
        <w:t xml:space="preserve"> 管理设施</w:t>
      </w:r>
    </w:p>
    <w:p w14:paraId="523F1830" w14:textId="77777777" w:rsidR="00B36C21" w:rsidRDefault="004A4C35">
      <w:r>
        <w:rPr>
          <w:rFonts w:hint="eastAsia"/>
          <w:i/>
          <w:iCs/>
        </w:rPr>
        <w:t>1.</w:t>
      </w:r>
      <w:r w:rsidR="002B26C4">
        <w:rPr>
          <w:rFonts w:hint="eastAsia"/>
          <w:i/>
          <w:iCs/>
        </w:rPr>
        <w:t>7</w:t>
      </w:r>
      <w:r>
        <w:rPr>
          <w:rFonts w:hint="eastAsia"/>
          <w:i/>
          <w:iCs/>
        </w:rPr>
        <w:t>.1</w:t>
      </w:r>
      <w:r w:rsidR="00721EC4">
        <w:rPr>
          <w:rFonts w:hint="eastAsia"/>
          <w:i/>
          <w:iCs/>
        </w:rPr>
        <w:t>.</w:t>
      </w:r>
      <w:r>
        <w:rPr>
          <w:rFonts w:hint="eastAsia"/>
          <w:i/>
          <w:iCs/>
        </w:rPr>
        <w:t xml:space="preserve"> </w:t>
      </w:r>
      <w:r>
        <w:rPr>
          <w:rFonts w:hint="eastAsia"/>
          <w:i/>
          <w:iCs/>
        </w:rPr>
        <w:t>管理设施。</w:t>
      </w:r>
      <w:r>
        <w:rPr>
          <w:rFonts w:hint="eastAsia"/>
        </w:rPr>
        <w:t>管理设施包括实施考古遗址可持续管理必要的建筑</w:t>
      </w:r>
      <w:r w:rsidR="002D7B0C">
        <w:rPr>
          <w:rFonts w:hint="eastAsia"/>
        </w:rPr>
        <w:t>构筑物、</w:t>
      </w:r>
      <w:r w:rsidR="00905B4F">
        <w:rPr>
          <w:rFonts w:hint="eastAsia"/>
        </w:rPr>
        <w:t>设施和设备。应明确</w:t>
      </w:r>
      <w:r>
        <w:rPr>
          <w:rFonts w:hint="eastAsia"/>
        </w:rPr>
        <w:t>那些对确保遗址的完整性、真实性</w:t>
      </w:r>
      <w:r w:rsidR="00905B4F">
        <w:rPr>
          <w:rFonts w:hint="eastAsia"/>
        </w:rPr>
        <w:t>和与其重要性相关的特点必不可少的设施</w:t>
      </w:r>
      <w:r>
        <w:rPr>
          <w:rFonts w:hint="eastAsia"/>
        </w:rPr>
        <w:t>，此外，也应确定对这些设施的具体要求。</w:t>
      </w:r>
    </w:p>
    <w:p w14:paraId="598FCB11" w14:textId="77777777" w:rsidR="00B36C21" w:rsidRDefault="00B36C21"/>
    <w:p w14:paraId="7C6E3F03" w14:textId="77777777" w:rsidR="00B36C21" w:rsidRDefault="004A4C35">
      <w:pPr>
        <w:pStyle w:val="3"/>
      </w:pPr>
      <w:r>
        <w:rPr>
          <w:rFonts w:hint="eastAsia"/>
        </w:rPr>
        <w:t>1.</w:t>
      </w:r>
      <w:r w:rsidR="002B26C4">
        <w:rPr>
          <w:rFonts w:hint="eastAsia"/>
        </w:rPr>
        <w:t>8</w:t>
      </w:r>
      <w:r w:rsidR="00721EC4">
        <w:rPr>
          <w:rFonts w:hint="eastAsia"/>
        </w:rPr>
        <w:t>．</w:t>
      </w:r>
      <w:r>
        <w:rPr>
          <w:rFonts w:hint="eastAsia"/>
        </w:rPr>
        <w:t xml:space="preserve"> </w:t>
      </w:r>
      <w:r w:rsidR="005620F9">
        <w:rPr>
          <w:rFonts w:hint="eastAsia"/>
        </w:rPr>
        <w:t>人力</w:t>
      </w:r>
      <w:r>
        <w:rPr>
          <w:rFonts w:hint="eastAsia"/>
        </w:rPr>
        <w:t>计划</w:t>
      </w:r>
    </w:p>
    <w:p w14:paraId="2C744F40" w14:textId="77777777" w:rsidR="00F44C0D" w:rsidRDefault="004A4C35" w:rsidP="009E6335">
      <w:r>
        <w:rPr>
          <w:rFonts w:hint="eastAsia"/>
          <w:i/>
          <w:iCs/>
        </w:rPr>
        <w:t>1.</w:t>
      </w:r>
      <w:r w:rsidR="002B26C4">
        <w:rPr>
          <w:rFonts w:hint="eastAsia"/>
          <w:i/>
          <w:iCs/>
        </w:rPr>
        <w:t>8</w:t>
      </w:r>
      <w:r>
        <w:rPr>
          <w:rFonts w:hint="eastAsia"/>
          <w:i/>
          <w:iCs/>
        </w:rPr>
        <w:t>.1</w:t>
      </w:r>
      <w:r w:rsidR="00721EC4">
        <w:rPr>
          <w:rFonts w:hint="eastAsia"/>
          <w:i/>
          <w:iCs/>
        </w:rPr>
        <w:t>.</w:t>
      </w:r>
      <w:r>
        <w:rPr>
          <w:rFonts w:hint="eastAsia"/>
          <w:i/>
          <w:iCs/>
        </w:rPr>
        <w:t xml:space="preserve"> </w:t>
      </w:r>
      <w:r>
        <w:rPr>
          <w:rFonts w:hint="eastAsia"/>
        </w:rPr>
        <w:t>可持续管理需要各种训练有素的工作人员，通常包括对公众考古遗址中的自然和文化资源具有相关经验的科学家和考古学家、维护人员、能安排日程和预算的行政人员、向游客介绍遗址的讲解员、具有博物馆、策展和表达方面能力的人员、社区联络员、医务人员、执法人员以及能够协调发展、协调一切必要的政策、项目和活动的管理者。</w:t>
      </w:r>
    </w:p>
    <w:p w14:paraId="05111927" w14:textId="77777777" w:rsidR="00B36C21" w:rsidRDefault="004A4C35" w:rsidP="009E6335">
      <w:r>
        <w:rPr>
          <w:rFonts w:hint="eastAsia"/>
        </w:rPr>
        <w:t>岗位需求是多种多样的，因此，岗位计划应根据文化和自然资源的清单和评估、确定的这些资源的脆弱性和所受威胁，以及与</w:t>
      </w:r>
      <w:r w:rsidR="008D744E">
        <w:rPr>
          <w:rFonts w:hint="eastAsia"/>
        </w:rPr>
        <w:t>向公众开放</w:t>
      </w:r>
      <w:r>
        <w:rPr>
          <w:rFonts w:hint="eastAsia"/>
        </w:rPr>
        <w:t>遗址的具体目标来制定。计划应包括一份组织结构图、所需岗位的任职要求、以及所有岗位的责任和义务。</w:t>
      </w:r>
    </w:p>
    <w:p w14:paraId="7BFEAAE8" w14:textId="77777777" w:rsidR="00B36C21" w:rsidRDefault="00B36C21"/>
    <w:p w14:paraId="73EF79E5" w14:textId="77777777" w:rsidR="00B36C21" w:rsidRDefault="004A4C35">
      <w:pPr>
        <w:pStyle w:val="3"/>
      </w:pPr>
      <w:r>
        <w:rPr>
          <w:rFonts w:hint="eastAsia"/>
        </w:rPr>
        <w:t>1.</w:t>
      </w:r>
      <w:r w:rsidR="002B26C4">
        <w:rPr>
          <w:rFonts w:hint="eastAsia"/>
        </w:rPr>
        <w:t>9</w:t>
      </w:r>
      <w:r w:rsidR="00721EC4">
        <w:rPr>
          <w:rFonts w:hint="eastAsia"/>
        </w:rPr>
        <w:t>．</w:t>
      </w:r>
      <w:r>
        <w:rPr>
          <w:rFonts w:hint="eastAsia"/>
        </w:rPr>
        <w:t xml:space="preserve"> 社区参与计划</w:t>
      </w:r>
    </w:p>
    <w:p w14:paraId="45242A85" w14:textId="77777777" w:rsidR="00B36C21" w:rsidRDefault="004A4C35">
      <w:r>
        <w:rPr>
          <w:rFonts w:hint="eastAsia"/>
          <w:i/>
          <w:iCs/>
        </w:rPr>
        <w:t>1.</w:t>
      </w:r>
      <w:r w:rsidR="00832397">
        <w:rPr>
          <w:rFonts w:hint="eastAsia"/>
          <w:i/>
          <w:iCs/>
        </w:rPr>
        <w:t>9</w:t>
      </w:r>
      <w:r>
        <w:rPr>
          <w:rFonts w:hint="eastAsia"/>
          <w:i/>
          <w:iCs/>
        </w:rPr>
        <w:t>.1</w:t>
      </w:r>
      <w:r w:rsidR="00721EC4">
        <w:rPr>
          <w:rFonts w:hint="eastAsia"/>
          <w:i/>
          <w:iCs/>
        </w:rPr>
        <w:t>.</w:t>
      </w:r>
      <w:r>
        <w:rPr>
          <w:rFonts w:hint="eastAsia"/>
          <w:i/>
          <w:iCs/>
        </w:rPr>
        <w:t xml:space="preserve"> </w:t>
      </w:r>
      <w:r>
        <w:rPr>
          <w:rFonts w:hint="eastAsia"/>
          <w:i/>
          <w:iCs/>
        </w:rPr>
        <w:t>社区参与计划。</w:t>
      </w:r>
      <w:r>
        <w:rPr>
          <w:rFonts w:hint="eastAsia"/>
        </w:rPr>
        <w:t>社区参与计划应指出利益相关者要如何</w:t>
      </w:r>
      <w:r w:rsidR="005620F9">
        <w:rPr>
          <w:rFonts w:hint="eastAsia"/>
        </w:rPr>
        <w:t>被</w:t>
      </w:r>
      <w:r>
        <w:rPr>
          <w:rFonts w:hint="eastAsia"/>
        </w:rPr>
        <w:t>认定、分类和参与。</w:t>
      </w:r>
    </w:p>
    <w:p w14:paraId="1780128D" w14:textId="77777777" w:rsidR="00B36C21" w:rsidRDefault="00B36C21"/>
    <w:p w14:paraId="275463B8" w14:textId="77777777" w:rsidR="00B36C21" w:rsidRDefault="004A4C35">
      <w:pPr>
        <w:pStyle w:val="3"/>
      </w:pPr>
      <w:r>
        <w:rPr>
          <w:rFonts w:hint="eastAsia"/>
        </w:rPr>
        <w:t>1.1</w:t>
      </w:r>
      <w:r w:rsidR="002B26C4">
        <w:rPr>
          <w:rFonts w:hint="eastAsia"/>
        </w:rPr>
        <w:t>0</w:t>
      </w:r>
      <w:r w:rsidR="00721EC4">
        <w:rPr>
          <w:rFonts w:hint="eastAsia"/>
        </w:rPr>
        <w:t>．</w:t>
      </w:r>
      <w:r>
        <w:rPr>
          <w:rFonts w:hint="eastAsia"/>
        </w:rPr>
        <w:t xml:space="preserve"> </w:t>
      </w:r>
      <w:r w:rsidR="00FF41D2">
        <w:rPr>
          <w:rFonts w:hint="eastAsia"/>
        </w:rPr>
        <w:t>总体管理规划</w:t>
      </w:r>
      <w:bookmarkStart w:id="0" w:name="_GoBack"/>
      <w:bookmarkEnd w:id="0"/>
    </w:p>
    <w:p w14:paraId="6B826208" w14:textId="77777777" w:rsidR="00810098" w:rsidRDefault="004A4C35">
      <w:r>
        <w:rPr>
          <w:rFonts w:hint="eastAsia"/>
          <w:i/>
          <w:iCs/>
        </w:rPr>
        <w:t>1.1</w:t>
      </w:r>
      <w:r w:rsidR="002B26C4">
        <w:rPr>
          <w:rFonts w:hint="eastAsia"/>
          <w:i/>
          <w:iCs/>
        </w:rPr>
        <w:t>0</w:t>
      </w:r>
      <w:r w:rsidR="00721EC4">
        <w:rPr>
          <w:rFonts w:hint="eastAsia"/>
          <w:i/>
          <w:iCs/>
        </w:rPr>
        <w:t xml:space="preserve">.1. </w:t>
      </w:r>
      <w:r w:rsidR="00FF41D2">
        <w:rPr>
          <w:rFonts w:hint="eastAsia"/>
          <w:i/>
          <w:iCs/>
        </w:rPr>
        <w:t>总体管理规划</w:t>
      </w:r>
      <w:r>
        <w:rPr>
          <w:rFonts w:hint="eastAsia"/>
          <w:i/>
          <w:iCs/>
        </w:rPr>
        <w:t>。</w:t>
      </w:r>
      <w:r>
        <w:rPr>
          <w:rFonts w:hint="eastAsia"/>
        </w:rPr>
        <w:t>鉴于</w:t>
      </w:r>
      <w:r w:rsidR="00FF41D2">
        <w:rPr>
          <w:rFonts w:hint="eastAsia"/>
        </w:rPr>
        <w:t>前文和后文中所呈现的有效管理的核心要素，需要准备一份总体管理规划。规划</w:t>
      </w:r>
      <w:r>
        <w:rPr>
          <w:rFonts w:hint="eastAsia"/>
        </w:rPr>
        <w:t>应明确要采取的框架、结构、系统、政策和行动以确保</w:t>
      </w:r>
      <w:r w:rsidR="00FF41D2">
        <w:rPr>
          <w:rFonts w:hint="eastAsia"/>
        </w:rPr>
        <w:t>可持续管理。每一措施都要设定标准、计划、指标和预算。</w:t>
      </w:r>
    </w:p>
    <w:p w14:paraId="03F7C518" w14:textId="77777777" w:rsidR="00B36C21" w:rsidRDefault="00FF41D2">
      <w:r>
        <w:rPr>
          <w:rFonts w:hint="eastAsia"/>
        </w:rPr>
        <w:t>总体管理规划</w:t>
      </w:r>
      <w:r w:rsidR="004A4C35">
        <w:rPr>
          <w:rFonts w:hint="eastAsia"/>
        </w:rPr>
        <w:t>应包括第</w:t>
      </w:r>
      <w:r w:rsidR="004A4C35">
        <w:rPr>
          <w:rFonts w:hint="eastAsia"/>
        </w:rPr>
        <w:t>1.1-1.9</w:t>
      </w:r>
      <w:r w:rsidR="004A4C35">
        <w:rPr>
          <w:rFonts w:hint="eastAsia"/>
        </w:rPr>
        <w:t>节中所列的所有内容。更具体地说，它还应包括：</w:t>
      </w:r>
    </w:p>
    <w:p w14:paraId="5350EAAE" w14:textId="77777777" w:rsidR="00B36C21" w:rsidRDefault="004A4C35">
      <w:r>
        <w:rPr>
          <w:rFonts w:hint="eastAsia"/>
        </w:rPr>
        <w:t>1.1</w:t>
      </w:r>
      <w:r w:rsidR="002B26C4">
        <w:rPr>
          <w:rFonts w:hint="eastAsia"/>
        </w:rPr>
        <w:t>0</w:t>
      </w:r>
      <w:r>
        <w:rPr>
          <w:rFonts w:hint="eastAsia"/>
        </w:rPr>
        <w:t>.1.1</w:t>
      </w:r>
      <w:r w:rsidR="00721EC4">
        <w:rPr>
          <w:rFonts w:hint="eastAsia"/>
        </w:rPr>
        <w:t xml:space="preserve">. </w:t>
      </w:r>
      <w:r>
        <w:rPr>
          <w:rFonts w:hint="eastAsia"/>
        </w:rPr>
        <w:t>一份财务计划，其中应说明门票收入和其他费用应当如何配置给遗址管理，</w:t>
      </w:r>
      <w:r w:rsidR="00FF41D2">
        <w:rPr>
          <w:rFonts w:hint="eastAsia"/>
        </w:rPr>
        <w:t>及其配置原理</w:t>
      </w:r>
      <w:r>
        <w:rPr>
          <w:rFonts w:hint="eastAsia"/>
        </w:rPr>
        <w:t>；</w:t>
      </w:r>
    </w:p>
    <w:p w14:paraId="6248018E" w14:textId="77777777" w:rsidR="00B36C21" w:rsidRDefault="004A4C35">
      <w:r>
        <w:rPr>
          <w:rFonts w:hint="eastAsia"/>
        </w:rPr>
        <w:t>1.1</w:t>
      </w:r>
      <w:r w:rsidR="002B26C4">
        <w:rPr>
          <w:rFonts w:hint="eastAsia"/>
        </w:rPr>
        <w:t>0</w:t>
      </w:r>
      <w:r>
        <w:rPr>
          <w:rFonts w:hint="eastAsia"/>
        </w:rPr>
        <w:t>.1.2</w:t>
      </w:r>
      <w:r w:rsidR="00721EC4">
        <w:rPr>
          <w:rFonts w:hint="eastAsia"/>
        </w:rPr>
        <w:t xml:space="preserve">. </w:t>
      </w:r>
      <w:r>
        <w:rPr>
          <w:rFonts w:hint="eastAsia"/>
        </w:rPr>
        <w:t>一份周期性维护计划，其中应说明适当的程序、所需人员、设备和供应需求以及设施设计；</w:t>
      </w:r>
    </w:p>
    <w:p w14:paraId="7F709773" w14:textId="77777777" w:rsidR="00B36C21" w:rsidRDefault="004A4C35">
      <w:r>
        <w:rPr>
          <w:rFonts w:hint="eastAsia"/>
        </w:rPr>
        <w:t>1.1</w:t>
      </w:r>
      <w:r w:rsidR="002B26C4">
        <w:rPr>
          <w:rFonts w:hint="eastAsia"/>
        </w:rPr>
        <w:t>0</w:t>
      </w:r>
      <w:r>
        <w:rPr>
          <w:rFonts w:hint="eastAsia"/>
        </w:rPr>
        <w:t>.1.3</w:t>
      </w:r>
      <w:r w:rsidR="00721EC4">
        <w:rPr>
          <w:rFonts w:hint="eastAsia"/>
        </w:rPr>
        <w:t xml:space="preserve">. </w:t>
      </w:r>
      <w:r w:rsidR="00FF41D2">
        <w:rPr>
          <w:rFonts w:hint="eastAsia"/>
        </w:rPr>
        <w:t>一份安全计划，应包括灾难应对</w:t>
      </w:r>
      <w:r>
        <w:rPr>
          <w:rFonts w:hint="eastAsia"/>
        </w:rPr>
        <w:t>、搜索和救援协议，以及医疗设备的需求；</w:t>
      </w:r>
    </w:p>
    <w:p w14:paraId="1D6F0214" w14:textId="77777777" w:rsidR="00B36C21" w:rsidRDefault="004A4C35">
      <w:r w:rsidRPr="003B4D0B">
        <w:rPr>
          <w:rFonts w:hint="eastAsia"/>
        </w:rPr>
        <w:t>1.1</w:t>
      </w:r>
      <w:r w:rsidR="002B26C4">
        <w:rPr>
          <w:rFonts w:hint="eastAsia"/>
        </w:rPr>
        <w:t>0</w:t>
      </w:r>
      <w:r w:rsidRPr="003B4D0B">
        <w:rPr>
          <w:rFonts w:hint="eastAsia"/>
        </w:rPr>
        <w:t>.1.4</w:t>
      </w:r>
      <w:r w:rsidR="00721EC4">
        <w:rPr>
          <w:rFonts w:hint="eastAsia"/>
        </w:rPr>
        <w:t xml:space="preserve">. </w:t>
      </w:r>
      <w:r>
        <w:rPr>
          <w:rFonts w:hint="eastAsia"/>
        </w:rPr>
        <w:t>涵盖了如第</w:t>
      </w:r>
      <w:r>
        <w:rPr>
          <w:rFonts w:hint="eastAsia"/>
        </w:rPr>
        <w:t>1.9</w:t>
      </w:r>
      <w:r>
        <w:rPr>
          <w:rFonts w:hint="eastAsia"/>
        </w:rPr>
        <w:t>节概括的岗位</w:t>
      </w:r>
      <w:r w:rsidR="00FF41D2">
        <w:rPr>
          <w:rFonts w:hint="eastAsia"/>
        </w:rPr>
        <w:t>计划，明确所需人员，确定每个工作人员必要的资质、作用和责任。人力</w:t>
      </w:r>
      <w:r>
        <w:rPr>
          <w:rFonts w:hint="eastAsia"/>
        </w:rPr>
        <w:t>计划应包括一份组织结构图。</w:t>
      </w:r>
    </w:p>
    <w:p w14:paraId="46AF70F0" w14:textId="77777777" w:rsidR="00B36C21" w:rsidRDefault="00B36C21"/>
    <w:p w14:paraId="538C7F74" w14:textId="77777777" w:rsidR="00B36C21" w:rsidRPr="002B26C4" w:rsidRDefault="004A4C35">
      <w:pPr>
        <w:pStyle w:val="2"/>
        <w:rPr>
          <w:u w:val="single"/>
        </w:rPr>
      </w:pPr>
      <w:r w:rsidRPr="002B26C4">
        <w:rPr>
          <w:rFonts w:hint="eastAsia"/>
          <w:u w:val="single"/>
        </w:rPr>
        <w:t xml:space="preserve">2. </w:t>
      </w:r>
      <w:r w:rsidRPr="002B26C4">
        <w:rPr>
          <w:rFonts w:hint="eastAsia"/>
          <w:u w:val="single"/>
        </w:rPr>
        <w:t>管理实施</w:t>
      </w:r>
      <w:r w:rsidRPr="002B26C4">
        <w:rPr>
          <w:rFonts w:hint="eastAsia"/>
          <w:u w:val="single"/>
        </w:rPr>
        <w:t xml:space="preserve"> </w:t>
      </w:r>
    </w:p>
    <w:p w14:paraId="50025DEE" w14:textId="77777777" w:rsidR="00B36C21" w:rsidRDefault="004A4C35">
      <w:pPr>
        <w:pStyle w:val="3"/>
      </w:pPr>
      <w:r>
        <w:rPr>
          <w:rFonts w:hint="eastAsia"/>
        </w:rPr>
        <w:t>2.1. 监测</w:t>
      </w:r>
    </w:p>
    <w:p w14:paraId="05DA56AB" w14:textId="77777777" w:rsidR="00B36C21" w:rsidRDefault="004A4C35">
      <w:r>
        <w:rPr>
          <w:rFonts w:hint="eastAsia"/>
          <w:i/>
          <w:iCs/>
        </w:rPr>
        <w:t>2.1.1</w:t>
      </w:r>
      <w:r w:rsidR="002B26C4">
        <w:rPr>
          <w:rFonts w:hint="eastAsia"/>
          <w:i/>
          <w:iCs/>
        </w:rPr>
        <w:t>.</w:t>
      </w:r>
      <w:r>
        <w:rPr>
          <w:rFonts w:hint="eastAsia"/>
          <w:i/>
          <w:iCs/>
        </w:rPr>
        <w:t xml:space="preserve"> </w:t>
      </w:r>
      <w:r>
        <w:rPr>
          <w:rFonts w:hint="eastAsia"/>
          <w:i/>
          <w:iCs/>
        </w:rPr>
        <w:t>监测系统反馈。</w:t>
      </w:r>
      <w:r>
        <w:rPr>
          <w:rFonts w:hint="eastAsia"/>
        </w:rPr>
        <w:t>监测系统和程序的结果应作为遗址管理的决策支持工具。由监测支持的决定涵盖管理的所有方面，包括但不限于：周期性维护和</w:t>
      </w:r>
      <w:r w:rsidR="006C525B">
        <w:rPr>
          <w:rFonts w:hint="eastAsia"/>
        </w:rPr>
        <w:t>改善资本状况</w:t>
      </w:r>
      <w:r>
        <w:rPr>
          <w:rFonts w:hint="eastAsia"/>
        </w:rPr>
        <w:t>、人员招募与管理、承载量的确定（应根据管理能力，随时间的推移而变化）和</w:t>
      </w:r>
      <w:r w:rsidRPr="006C525B">
        <w:rPr>
          <w:rFonts w:hint="eastAsia"/>
        </w:rPr>
        <w:t>改变的可接受范围</w:t>
      </w:r>
      <w:r>
        <w:rPr>
          <w:rFonts w:hint="eastAsia"/>
        </w:rPr>
        <w:t>，以及有效的社区参与所需的政策、</w:t>
      </w:r>
      <w:r w:rsidRPr="006C525B">
        <w:rPr>
          <w:rFonts w:hint="eastAsia"/>
        </w:rPr>
        <w:t>项目</w:t>
      </w:r>
      <w:r>
        <w:rPr>
          <w:rFonts w:hint="eastAsia"/>
        </w:rPr>
        <w:t>和活动。</w:t>
      </w:r>
    </w:p>
    <w:p w14:paraId="243BA47B" w14:textId="77777777" w:rsidR="00B36C21" w:rsidRDefault="00B36C21"/>
    <w:p w14:paraId="1F21CBAB" w14:textId="77777777" w:rsidR="00B36C21" w:rsidRDefault="004A4C35">
      <w:pPr>
        <w:pStyle w:val="3"/>
      </w:pPr>
      <w:r>
        <w:rPr>
          <w:rFonts w:hint="eastAsia"/>
        </w:rPr>
        <w:lastRenderedPageBreak/>
        <w:t>2.2</w:t>
      </w:r>
      <w:r w:rsidR="002B26C4">
        <w:rPr>
          <w:rFonts w:hint="eastAsia"/>
        </w:rPr>
        <w:t>.</w:t>
      </w:r>
      <w:r>
        <w:rPr>
          <w:rFonts w:hint="eastAsia"/>
        </w:rPr>
        <w:t xml:space="preserve"> 透明</w:t>
      </w:r>
    </w:p>
    <w:p w14:paraId="6E8F0F73" w14:textId="77777777" w:rsidR="00B36C21" w:rsidRDefault="004A4C35">
      <w:r>
        <w:rPr>
          <w:rFonts w:hint="eastAsia"/>
          <w:i/>
          <w:iCs/>
        </w:rPr>
        <w:t>2.2.1</w:t>
      </w:r>
      <w:r w:rsidR="00721EC4">
        <w:rPr>
          <w:rFonts w:hint="eastAsia"/>
          <w:i/>
          <w:iCs/>
        </w:rPr>
        <w:t>.</w:t>
      </w:r>
      <w:r>
        <w:rPr>
          <w:rFonts w:hint="eastAsia"/>
          <w:i/>
          <w:iCs/>
        </w:rPr>
        <w:t xml:space="preserve"> </w:t>
      </w:r>
      <w:r>
        <w:rPr>
          <w:rFonts w:hint="eastAsia"/>
          <w:i/>
          <w:iCs/>
        </w:rPr>
        <w:t>监测和管理中的透明。</w:t>
      </w:r>
      <w:r>
        <w:rPr>
          <w:rFonts w:hint="eastAsia"/>
        </w:rPr>
        <w:t>利益相关者，从地方社区团体到对遗址感兴趣的国际组织，与他们感兴趣的内容相关的任何管理项目和活动都应及时告知。监测结果应定期向所有利益相关者公开。</w:t>
      </w:r>
    </w:p>
    <w:p w14:paraId="01508EB1" w14:textId="77777777" w:rsidR="00CB4A5F" w:rsidRDefault="00CB4A5F" w:rsidP="00344D10"/>
    <w:p w14:paraId="0A7EBC99" w14:textId="77777777" w:rsidR="00B36C21" w:rsidRDefault="004A4C35">
      <w:pPr>
        <w:pStyle w:val="3"/>
      </w:pPr>
      <w:r>
        <w:rPr>
          <w:rFonts w:hint="eastAsia"/>
        </w:rPr>
        <w:t>2.3</w:t>
      </w:r>
      <w:r w:rsidR="002B26C4">
        <w:rPr>
          <w:rFonts w:hint="eastAsia"/>
        </w:rPr>
        <w:t>.</w:t>
      </w:r>
      <w:r>
        <w:rPr>
          <w:rFonts w:hint="eastAsia"/>
        </w:rPr>
        <w:t xml:space="preserve"> </w:t>
      </w:r>
      <w:r w:rsidR="009341A4">
        <w:rPr>
          <w:rFonts w:hint="eastAsia"/>
        </w:rPr>
        <w:t>沟通</w:t>
      </w:r>
    </w:p>
    <w:p w14:paraId="3B15F813" w14:textId="77777777" w:rsidR="00B36C21" w:rsidRDefault="004A4C35">
      <w:r>
        <w:rPr>
          <w:rFonts w:hint="eastAsia"/>
          <w:i/>
          <w:iCs/>
        </w:rPr>
        <w:t>2.3.1</w:t>
      </w:r>
      <w:r w:rsidR="00721EC4">
        <w:rPr>
          <w:rFonts w:hint="eastAsia"/>
          <w:i/>
          <w:iCs/>
        </w:rPr>
        <w:t>.</w:t>
      </w:r>
      <w:r>
        <w:rPr>
          <w:rFonts w:hint="eastAsia"/>
          <w:i/>
          <w:iCs/>
        </w:rPr>
        <w:t xml:space="preserve"> </w:t>
      </w:r>
      <w:r>
        <w:rPr>
          <w:rFonts w:hint="eastAsia"/>
          <w:i/>
          <w:iCs/>
        </w:rPr>
        <w:t>遗址管理者间的沟通和协调。</w:t>
      </w:r>
      <w:r>
        <w:rPr>
          <w:rFonts w:hint="eastAsia"/>
        </w:rPr>
        <w:t>建议公众考古遗址代表定期会晤，分享共同关心的问题，探讨有助于解决问题的途径、方案和活动。</w:t>
      </w:r>
    </w:p>
    <w:p w14:paraId="54DAC29C" w14:textId="77777777" w:rsidR="0031343F" w:rsidRPr="001D412F" w:rsidRDefault="0031343F" w:rsidP="0031343F">
      <w:pPr>
        <w:jc w:val="right"/>
        <w:rPr>
          <w:rFonts w:ascii="黑体" w:eastAsia="黑体" w:hAnsi="黑体"/>
        </w:rPr>
      </w:pPr>
      <w:r w:rsidRPr="001D412F">
        <w:rPr>
          <w:rFonts w:ascii="黑体" w:eastAsia="黑体" w:hAnsi="黑体" w:hint="eastAsia"/>
        </w:rPr>
        <w:t>（翻译：李说 彭婷 孙田</w:t>
      </w:r>
      <w:r w:rsidR="002644F0">
        <w:rPr>
          <w:rFonts w:ascii="黑体" w:eastAsia="黑体" w:hAnsi="黑体" w:hint="eastAsia"/>
        </w:rPr>
        <w:t>，校对：解立</w:t>
      </w:r>
      <w:r w:rsidRPr="001D412F">
        <w:rPr>
          <w:rFonts w:ascii="黑体" w:eastAsia="黑体" w:hAnsi="黑体" w:hint="eastAsia"/>
        </w:rPr>
        <w:t>）</w:t>
      </w:r>
    </w:p>
    <w:sectPr w:rsidR="0031343F" w:rsidRPr="001D412F" w:rsidSect="006842DC">
      <w:headerReference w:type="default" r:id="rId10"/>
      <w:footerReference w:type="default" r:id="rId11"/>
      <w:headerReference w:type="first" r:id="rId12"/>
      <w:pgSz w:w="16783" w:h="23757"/>
      <w:pgMar w:top="1440" w:right="1800" w:bottom="1440" w:left="1800" w:header="851" w:footer="992" w:gutter="0"/>
      <w:cols w:space="425"/>
      <w:titlePg/>
      <w:docGrid w:type="lines"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00987C" w14:textId="77777777" w:rsidR="0074212E" w:rsidRDefault="0074212E" w:rsidP="00915B5E">
      <w:pPr>
        <w:spacing w:line="240" w:lineRule="auto"/>
        <w:ind w:left="480" w:firstLine="480"/>
      </w:pPr>
      <w:r>
        <w:separator/>
      </w:r>
    </w:p>
  </w:endnote>
  <w:endnote w:type="continuationSeparator" w:id="0">
    <w:p w14:paraId="6DBD70C0" w14:textId="77777777" w:rsidR="0074212E" w:rsidRDefault="0074212E" w:rsidP="00915B5E">
      <w:pPr>
        <w:spacing w:line="240" w:lineRule="auto"/>
        <w:ind w:left="480"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黑体">
    <w:charset w:val="86"/>
    <w:family w:val="auto"/>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9015903"/>
      <w:docPartObj>
        <w:docPartGallery w:val="Page Numbers (Bottom of Page)"/>
        <w:docPartUnique/>
      </w:docPartObj>
    </w:sdtPr>
    <w:sdtEndPr/>
    <w:sdtContent>
      <w:p w14:paraId="0F0AC5F0" w14:textId="77777777" w:rsidR="004A62C4" w:rsidRDefault="0074212E" w:rsidP="004A62C4">
        <w:pPr>
          <w:pStyle w:val="af0"/>
          <w:jc w:val="center"/>
        </w:pPr>
        <w:r>
          <w:fldChar w:fldCharType="begin"/>
        </w:r>
        <w:r>
          <w:instrText xml:space="preserve"> PAGE   \* MERGEFORMAT </w:instrText>
        </w:r>
        <w:r>
          <w:fldChar w:fldCharType="separate"/>
        </w:r>
        <w:r w:rsidR="0098229F" w:rsidRPr="0098229F">
          <w:rPr>
            <w:noProof/>
            <w:lang w:val="zh-CN"/>
          </w:rPr>
          <w:t>2</w:t>
        </w:r>
        <w:r>
          <w:rPr>
            <w:noProof/>
            <w:lang w:val="zh-CN"/>
          </w:rPr>
          <w:fldChar w:fldCharType="end"/>
        </w:r>
      </w:p>
    </w:sdtContent>
  </w:sdt>
  <w:p w14:paraId="2B583885" w14:textId="77777777" w:rsidR="004A62C4" w:rsidRDefault="004A62C4">
    <w:pPr>
      <w:pStyle w:val="af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CAF1A" w14:textId="77777777" w:rsidR="0074212E" w:rsidRDefault="0074212E" w:rsidP="00915B5E">
      <w:pPr>
        <w:spacing w:line="240" w:lineRule="auto"/>
        <w:ind w:left="480" w:firstLine="480"/>
      </w:pPr>
      <w:r>
        <w:separator/>
      </w:r>
    </w:p>
  </w:footnote>
  <w:footnote w:type="continuationSeparator" w:id="0">
    <w:p w14:paraId="0A7A4EFC" w14:textId="77777777" w:rsidR="0074212E" w:rsidRDefault="0074212E" w:rsidP="00915B5E">
      <w:pPr>
        <w:spacing w:line="240" w:lineRule="auto"/>
        <w:ind w:left="480" w:firstLine="48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9B30" w14:textId="77777777" w:rsidR="00801904" w:rsidRDefault="00801904">
    <w:pPr>
      <w:pStyle w:val="ae"/>
    </w:pPr>
  </w:p>
  <w:p w14:paraId="3FB23D48" w14:textId="77777777" w:rsidR="00801904" w:rsidRDefault="00801904">
    <w:pPr>
      <w:pStyle w:val="a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087F1" w14:textId="77777777" w:rsidR="00A65B72" w:rsidRDefault="006842DC">
    <w:pPr>
      <w:pStyle w:val="ae"/>
    </w:pPr>
    <w:r w:rsidRPr="006842DC">
      <w:rPr>
        <w:noProof/>
      </w:rPr>
      <w:drawing>
        <wp:inline distT="0" distB="0" distL="0" distR="0" wp14:anchorId="0EE77936" wp14:editId="6121C590">
          <wp:extent cx="4572000" cy="1267069"/>
          <wp:effectExtent l="1905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AHM 7 wide.jpg"/>
                  <pic:cNvPicPr/>
                </pic:nvPicPr>
                <pic:blipFill>
                  <a:blip r:embed="rId1">
                    <a:extLst>
                      <a:ext uri="{28A0092B-C50C-407E-A947-70E740481C1C}">
                        <a14:useLocalDpi xmlns:a14="http://schemas.microsoft.com/office/drawing/2010/main" val="0"/>
                      </a:ext>
                    </a:extLst>
                  </a:blip>
                  <a:stretch>
                    <a:fillRect/>
                  </a:stretch>
                </pic:blipFill>
                <pic:spPr>
                  <a:xfrm>
                    <a:off x="0" y="0"/>
                    <a:ext cx="4572000" cy="12670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A5426D"/>
    <w:multiLevelType w:val="multilevel"/>
    <w:tmpl w:val="05A5426D"/>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30162D6"/>
    <w:multiLevelType w:val="multilevel"/>
    <w:tmpl w:val="330162D6"/>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BD136DA"/>
    <w:multiLevelType w:val="multilevel"/>
    <w:tmpl w:val="5BD136DA"/>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nsid w:val="6B747E23"/>
    <w:multiLevelType w:val="multilevel"/>
    <w:tmpl w:val="6B747E23"/>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NotTrackMoves/>
  <w:defaultTabStop w:val="420"/>
  <w:drawingGridHorizontalSpacing w:val="120"/>
  <w:drawingGridVerticalSpacing w:val="163"/>
  <w:displayHorizontalDrawingGridEvery w:val="2"/>
  <w:displayVerticalDrawingGridEvery w:val="2"/>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866186"/>
    <w:rsid w:val="00011C31"/>
    <w:rsid w:val="000137A0"/>
    <w:rsid w:val="00020C54"/>
    <w:rsid w:val="00021FFA"/>
    <w:rsid w:val="00025326"/>
    <w:rsid w:val="00030BDF"/>
    <w:rsid w:val="00037C76"/>
    <w:rsid w:val="00044464"/>
    <w:rsid w:val="0004586C"/>
    <w:rsid w:val="0004639D"/>
    <w:rsid w:val="000557F3"/>
    <w:rsid w:val="000567ED"/>
    <w:rsid w:val="00061DB5"/>
    <w:rsid w:val="000726A7"/>
    <w:rsid w:val="0007370C"/>
    <w:rsid w:val="00074543"/>
    <w:rsid w:val="00077BFF"/>
    <w:rsid w:val="00077F49"/>
    <w:rsid w:val="000830F2"/>
    <w:rsid w:val="000847EB"/>
    <w:rsid w:val="00086ABA"/>
    <w:rsid w:val="00086DAC"/>
    <w:rsid w:val="000976AE"/>
    <w:rsid w:val="000A0B80"/>
    <w:rsid w:val="000A4106"/>
    <w:rsid w:val="000A5DFA"/>
    <w:rsid w:val="000A7F0F"/>
    <w:rsid w:val="000B37F8"/>
    <w:rsid w:val="000B71F0"/>
    <w:rsid w:val="000C538B"/>
    <w:rsid w:val="000D3926"/>
    <w:rsid w:val="000D4FB7"/>
    <w:rsid w:val="000D6754"/>
    <w:rsid w:val="000E02C3"/>
    <w:rsid w:val="000E121B"/>
    <w:rsid w:val="000E22C0"/>
    <w:rsid w:val="000E4F2B"/>
    <w:rsid w:val="000E5C3A"/>
    <w:rsid w:val="000E7CEC"/>
    <w:rsid w:val="000F0288"/>
    <w:rsid w:val="000F05B8"/>
    <w:rsid w:val="000F1389"/>
    <w:rsid w:val="000F3354"/>
    <w:rsid w:val="000F58CF"/>
    <w:rsid w:val="0010405C"/>
    <w:rsid w:val="00104803"/>
    <w:rsid w:val="00105F38"/>
    <w:rsid w:val="00106FDE"/>
    <w:rsid w:val="00111688"/>
    <w:rsid w:val="00111938"/>
    <w:rsid w:val="0011399C"/>
    <w:rsid w:val="00115278"/>
    <w:rsid w:val="00120C1A"/>
    <w:rsid w:val="00130A5F"/>
    <w:rsid w:val="00133FC0"/>
    <w:rsid w:val="001358BB"/>
    <w:rsid w:val="00136059"/>
    <w:rsid w:val="001407D6"/>
    <w:rsid w:val="0015229C"/>
    <w:rsid w:val="00160312"/>
    <w:rsid w:val="00161BA7"/>
    <w:rsid w:val="0017059C"/>
    <w:rsid w:val="00170A9F"/>
    <w:rsid w:val="001750A3"/>
    <w:rsid w:val="00177733"/>
    <w:rsid w:val="00181CA0"/>
    <w:rsid w:val="001822D8"/>
    <w:rsid w:val="00183310"/>
    <w:rsid w:val="00186B31"/>
    <w:rsid w:val="00195042"/>
    <w:rsid w:val="001A1305"/>
    <w:rsid w:val="001A2E2E"/>
    <w:rsid w:val="001A2FD6"/>
    <w:rsid w:val="001B2269"/>
    <w:rsid w:val="001B3B24"/>
    <w:rsid w:val="001B42BA"/>
    <w:rsid w:val="001B46D2"/>
    <w:rsid w:val="001B6181"/>
    <w:rsid w:val="001B7E19"/>
    <w:rsid w:val="001C3624"/>
    <w:rsid w:val="001C444F"/>
    <w:rsid w:val="001C6F90"/>
    <w:rsid w:val="001D412F"/>
    <w:rsid w:val="001D4714"/>
    <w:rsid w:val="001D51E9"/>
    <w:rsid w:val="001D675B"/>
    <w:rsid w:val="001E01C2"/>
    <w:rsid w:val="001F12FB"/>
    <w:rsid w:val="002114D5"/>
    <w:rsid w:val="00211727"/>
    <w:rsid w:val="00212641"/>
    <w:rsid w:val="00216939"/>
    <w:rsid w:val="0021709A"/>
    <w:rsid w:val="00222E43"/>
    <w:rsid w:val="00223AE5"/>
    <w:rsid w:val="00225C2D"/>
    <w:rsid w:val="0023384B"/>
    <w:rsid w:val="00235089"/>
    <w:rsid w:val="002357AC"/>
    <w:rsid w:val="00243B94"/>
    <w:rsid w:val="0024605F"/>
    <w:rsid w:val="00251209"/>
    <w:rsid w:val="00253410"/>
    <w:rsid w:val="00256793"/>
    <w:rsid w:val="00260136"/>
    <w:rsid w:val="002638CB"/>
    <w:rsid w:val="002644F0"/>
    <w:rsid w:val="00265EA9"/>
    <w:rsid w:val="0027198C"/>
    <w:rsid w:val="002730F2"/>
    <w:rsid w:val="002803B1"/>
    <w:rsid w:val="00282C33"/>
    <w:rsid w:val="002863C5"/>
    <w:rsid w:val="00286C9C"/>
    <w:rsid w:val="00290FF6"/>
    <w:rsid w:val="002911DD"/>
    <w:rsid w:val="002B26C4"/>
    <w:rsid w:val="002B3FD3"/>
    <w:rsid w:val="002B72FF"/>
    <w:rsid w:val="002D3F58"/>
    <w:rsid w:val="002D7B0C"/>
    <w:rsid w:val="002E086D"/>
    <w:rsid w:val="002E3BF2"/>
    <w:rsid w:val="002E5785"/>
    <w:rsid w:val="002E7EA3"/>
    <w:rsid w:val="002F34F5"/>
    <w:rsid w:val="003047A1"/>
    <w:rsid w:val="00310D74"/>
    <w:rsid w:val="00310F02"/>
    <w:rsid w:val="00311FFE"/>
    <w:rsid w:val="0031343F"/>
    <w:rsid w:val="00315534"/>
    <w:rsid w:val="00316B27"/>
    <w:rsid w:val="00321009"/>
    <w:rsid w:val="003232EA"/>
    <w:rsid w:val="00323574"/>
    <w:rsid w:val="00323914"/>
    <w:rsid w:val="00332B43"/>
    <w:rsid w:val="00342C4F"/>
    <w:rsid w:val="003443F7"/>
    <w:rsid w:val="00344D10"/>
    <w:rsid w:val="00347668"/>
    <w:rsid w:val="00350427"/>
    <w:rsid w:val="00356AEA"/>
    <w:rsid w:val="0036573A"/>
    <w:rsid w:val="00375FE2"/>
    <w:rsid w:val="00381E45"/>
    <w:rsid w:val="003829BE"/>
    <w:rsid w:val="0039103D"/>
    <w:rsid w:val="0039139B"/>
    <w:rsid w:val="003968F5"/>
    <w:rsid w:val="00396FBE"/>
    <w:rsid w:val="003A764E"/>
    <w:rsid w:val="003B4D0B"/>
    <w:rsid w:val="003C0A11"/>
    <w:rsid w:val="003C0AC6"/>
    <w:rsid w:val="003C1916"/>
    <w:rsid w:val="003C338B"/>
    <w:rsid w:val="003D7E50"/>
    <w:rsid w:val="003E040C"/>
    <w:rsid w:val="003E44CF"/>
    <w:rsid w:val="003E5BF8"/>
    <w:rsid w:val="003F0613"/>
    <w:rsid w:val="003F1B34"/>
    <w:rsid w:val="004029EA"/>
    <w:rsid w:val="00405F8E"/>
    <w:rsid w:val="0041103B"/>
    <w:rsid w:val="00415ABF"/>
    <w:rsid w:val="00440CC0"/>
    <w:rsid w:val="00440E28"/>
    <w:rsid w:val="0044782B"/>
    <w:rsid w:val="00451D30"/>
    <w:rsid w:val="004524AB"/>
    <w:rsid w:val="004566E4"/>
    <w:rsid w:val="0046119C"/>
    <w:rsid w:val="00462E59"/>
    <w:rsid w:val="00463D35"/>
    <w:rsid w:val="004719E1"/>
    <w:rsid w:val="0047219B"/>
    <w:rsid w:val="00475A9B"/>
    <w:rsid w:val="00481ECF"/>
    <w:rsid w:val="0048720A"/>
    <w:rsid w:val="00493678"/>
    <w:rsid w:val="00493CE1"/>
    <w:rsid w:val="00494039"/>
    <w:rsid w:val="0049624A"/>
    <w:rsid w:val="004A2007"/>
    <w:rsid w:val="004A4100"/>
    <w:rsid w:val="004A4153"/>
    <w:rsid w:val="004A4AF8"/>
    <w:rsid w:val="004A4C35"/>
    <w:rsid w:val="004A62C4"/>
    <w:rsid w:val="004B1076"/>
    <w:rsid w:val="004B10C5"/>
    <w:rsid w:val="004B2062"/>
    <w:rsid w:val="004B3228"/>
    <w:rsid w:val="004B4A90"/>
    <w:rsid w:val="004B4CE7"/>
    <w:rsid w:val="004B4ECC"/>
    <w:rsid w:val="004B507E"/>
    <w:rsid w:val="004B5BB3"/>
    <w:rsid w:val="004C726B"/>
    <w:rsid w:val="004D7F28"/>
    <w:rsid w:val="004E1107"/>
    <w:rsid w:val="0050082F"/>
    <w:rsid w:val="00502098"/>
    <w:rsid w:val="00502D31"/>
    <w:rsid w:val="00512BF8"/>
    <w:rsid w:val="00514E8A"/>
    <w:rsid w:val="00515B91"/>
    <w:rsid w:val="00517015"/>
    <w:rsid w:val="00517271"/>
    <w:rsid w:val="00520F89"/>
    <w:rsid w:val="0052232D"/>
    <w:rsid w:val="005226F4"/>
    <w:rsid w:val="0052407C"/>
    <w:rsid w:val="005421DB"/>
    <w:rsid w:val="00557205"/>
    <w:rsid w:val="005620F9"/>
    <w:rsid w:val="00564087"/>
    <w:rsid w:val="00570E19"/>
    <w:rsid w:val="0057247F"/>
    <w:rsid w:val="005812CF"/>
    <w:rsid w:val="0058563A"/>
    <w:rsid w:val="00586AED"/>
    <w:rsid w:val="00593FCD"/>
    <w:rsid w:val="005A1ACA"/>
    <w:rsid w:val="005A1D4A"/>
    <w:rsid w:val="005B1E3D"/>
    <w:rsid w:val="005B3503"/>
    <w:rsid w:val="005C345F"/>
    <w:rsid w:val="005C36F2"/>
    <w:rsid w:val="005C44C3"/>
    <w:rsid w:val="005D1E04"/>
    <w:rsid w:val="005D2B31"/>
    <w:rsid w:val="005D79B4"/>
    <w:rsid w:val="005E4DEF"/>
    <w:rsid w:val="005E4E0F"/>
    <w:rsid w:val="005F1E5A"/>
    <w:rsid w:val="005F405D"/>
    <w:rsid w:val="005F4CA8"/>
    <w:rsid w:val="005F5920"/>
    <w:rsid w:val="00600690"/>
    <w:rsid w:val="00601FAD"/>
    <w:rsid w:val="00605536"/>
    <w:rsid w:val="006057E4"/>
    <w:rsid w:val="0060735F"/>
    <w:rsid w:val="0061560C"/>
    <w:rsid w:val="00625341"/>
    <w:rsid w:val="0062625C"/>
    <w:rsid w:val="006275A3"/>
    <w:rsid w:val="006329A5"/>
    <w:rsid w:val="00647C1A"/>
    <w:rsid w:val="00650ACB"/>
    <w:rsid w:val="00656D51"/>
    <w:rsid w:val="00664A71"/>
    <w:rsid w:val="00675E2A"/>
    <w:rsid w:val="006807C5"/>
    <w:rsid w:val="006828AD"/>
    <w:rsid w:val="006842DC"/>
    <w:rsid w:val="00696C86"/>
    <w:rsid w:val="006B2E78"/>
    <w:rsid w:val="006C494C"/>
    <w:rsid w:val="006C525B"/>
    <w:rsid w:val="006D0484"/>
    <w:rsid w:val="006D1295"/>
    <w:rsid w:val="006D136F"/>
    <w:rsid w:val="006E272C"/>
    <w:rsid w:val="006E345F"/>
    <w:rsid w:val="006E70CC"/>
    <w:rsid w:val="006F09BC"/>
    <w:rsid w:val="006F0DA7"/>
    <w:rsid w:val="006F669E"/>
    <w:rsid w:val="006F6A45"/>
    <w:rsid w:val="006F7284"/>
    <w:rsid w:val="00701835"/>
    <w:rsid w:val="00704EA0"/>
    <w:rsid w:val="00706167"/>
    <w:rsid w:val="00706548"/>
    <w:rsid w:val="0070696E"/>
    <w:rsid w:val="00721123"/>
    <w:rsid w:val="00721EC4"/>
    <w:rsid w:val="007256C7"/>
    <w:rsid w:val="0072780C"/>
    <w:rsid w:val="00736D6A"/>
    <w:rsid w:val="007371E1"/>
    <w:rsid w:val="0073747F"/>
    <w:rsid w:val="00741FBE"/>
    <w:rsid w:val="0074212E"/>
    <w:rsid w:val="00743238"/>
    <w:rsid w:val="00745868"/>
    <w:rsid w:val="00752083"/>
    <w:rsid w:val="00755E2D"/>
    <w:rsid w:val="00757627"/>
    <w:rsid w:val="00760FDD"/>
    <w:rsid w:val="007640E2"/>
    <w:rsid w:val="007648EC"/>
    <w:rsid w:val="00767219"/>
    <w:rsid w:val="007673B1"/>
    <w:rsid w:val="0078348A"/>
    <w:rsid w:val="007861E4"/>
    <w:rsid w:val="007A2ACD"/>
    <w:rsid w:val="007A5C20"/>
    <w:rsid w:val="007A7CA6"/>
    <w:rsid w:val="007B183C"/>
    <w:rsid w:val="007B6E85"/>
    <w:rsid w:val="007C2805"/>
    <w:rsid w:val="007C7FF4"/>
    <w:rsid w:val="007D0C7C"/>
    <w:rsid w:val="007D387E"/>
    <w:rsid w:val="007E068E"/>
    <w:rsid w:val="007E56B5"/>
    <w:rsid w:val="00801904"/>
    <w:rsid w:val="008048B2"/>
    <w:rsid w:val="00810098"/>
    <w:rsid w:val="00812A38"/>
    <w:rsid w:val="00815580"/>
    <w:rsid w:val="00815B2D"/>
    <w:rsid w:val="00815B67"/>
    <w:rsid w:val="00816CD2"/>
    <w:rsid w:val="0081776A"/>
    <w:rsid w:val="00820FCB"/>
    <w:rsid w:val="00823418"/>
    <w:rsid w:val="00824D3A"/>
    <w:rsid w:val="00832397"/>
    <w:rsid w:val="00835420"/>
    <w:rsid w:val="00835DAA"/>
    <w:rsid w:val="008405CA"/>
    <w:rsid w:val="0084257C"/>
    <w:rsid w:val="00843A41"/>
    <w:rsid w:val="00851E82"/>
    <w:rsid w:val="0085317E"/>
    <w:rsid w:val="00853A1A"/>
    <w:rsid w:val="00854465"/>
    <w:rsid w:val="00854ECB"/>
    <w:rsid w:val="0085762C"/>
    <w:rsid w:val="00860A67"/>
    <w:rsid w:val="00866186"/>
    <w:rsid w:val="00866BCA"/>
    <w:rsid w:val="00867702"/>
    <w:rsid w:val="00870AA3"/>
    <w:rsid w:val="0087184A"/>
    <w:rsid w:val="00872EA0"/>
    <w:rsid w:val="0087351E"/>
    <w:rsid w:val="00873711"/>
    <w:rsid w:val="00873CEF"/>
    <w:rsid w:val="00876137"/>
    <w:rsid w:val="0087734C"/>
    <w:rsid w:val="008804EC"/>
    <w:rsid w:val="00882303"/>
    <w:rsid w:val="008922DC"/>
    <w:rsid w:val="008927C7"/>
    <w:rsid w:val="008928CE"/>
    <w:rsid w:val="0089657B"/>
    <w:rsid w:val="0089783F"/>
    <w:rsid w:val="008B3554"/>
    <w:rsid w:val="008B4026"/>
    <w:rsid w:val="008B40F4"/>
    <w:rsid w:val="008C3A21"/>
    <w:rsid w:val="008C4F85"/>
    <w:rsid w:val="008C5078"/>
    <w:rsid w:val="008C709F"/>
    <w:rsid w:val="008C72DB"/>
    <w:rsid w:val="008C7A57"/>
    <w:rsid w:val="008D744E"/>
    <w:rsid w:val="008E05D4"/>
    <w:rsid w:val="008E1854"/>
    <w:rsid w:val="008E32A2"/>
    <w:rsid w:val="008E6DC3"/>
    <w:rsid w:val="00901024"/>
    <w:rsid w:val="00902B25"/>
    <w:rsid w:val="0090401B"/>
    <w:rsid w:val="00905B4F"/>
    <w:rsid w:val="0091400A"/>
    <w:rsid w:val="00914A45"/>
    <w:rsid w:val="00915B5E"/>
    <w:rsid w:val="00916356"/>
    <w:rsid w:val="009236C6"/>
    <w:rsid w:val="0092407E"/>
    <w:rsid w:val="00927503"/>
    <w:rsid w:val="0093043A"/>
    <w:rsid w:val="00930B39"/>
    <w:rsid w:val="009318C8"/>
    <w:rsid w:val="00932081"/>
    <w:rsid w:val="009341A4"/>
    <w:rsid w:val="00935E0E"/>
    <w:rsid w:val="009457B2"/>
    <w:rsid w:val="00945FB8"/>
    <w:rsid w:val="00950BCE"/>
    <w:rsid w:val="0095485F"/>
    <w:rsid w:val="00961F8A"/>
    <w:rsid w:val="009707B1"/>
    <w:rsid w:val="00971695"/>
    <w:rsid w:val="009744B3"/>
    <w:rsid w:val="00975443"/>
    <w:rsid w:val="00975F76"/>
    <w:rsid w:val="00980823"/>
    <w:rsid w:val="0098229F"/>
    <w:rsid w:val="00984B0E"/>
    <w:rsid w:val="00993927"/>
    <w:rsid w:val="00995790"/>
    <w:rsid w:val="009A17E2"/>
    <w:rsid w:val="009A4A17"/>
    <w:rsid w:val="009A7634"/>
    <w:rsid w:val="009B0BA5"/>
    <w:rsid w:val="009B12E8"/>
    <w:rsid w:val="009B37D6"/>
    <w:rsid w:val="009B560F"/>
    <w:rsid w:val="009C46A4"/>
    <w:rsid w:val="009C4FA6"/>
    <w:rsid w:val="009D292E"/>
    <w:rsid w:val="009D3B17"/>
    <w:rsid w:val="009D3EB4"/>
    <w:rsid w:val="009E0720"/>
    <w:rsid w:val="009E6335"/>
    <w:rsid w:val="009F5248"/>
    <w:rsid w:val="009F7510"/>
    <w:rsid w:val="00A0065C"/>
    <w:rsid w:val="00A04FA1"/>
    <w:rsid w:val="00A1127A"/>
    <w:rsid w:val="00A11FCB"/>
    <w:rsid w:val="00A12701"/>
    <w:rsid w:val="00A17F59"/>
    <w:rsid w:val="00A26E53"/>
    <w:rsid w:val="00A27A30"/>
    <w:rsid w:val="00A321D0"/>
    <w:rsid w:val="00A34411"/>
    <w:rsid w:val="00A37F7B"/>
    <w:rsid w:val="00A64B13"/>
    <w:rsid w:val="00A65B72"/>
    <w:rsid w:val="00A66968"/>
    <w:rsid w:val="00A6761C"/>
    <w:rsid w:val="00A70F86"/>
    <w:rsid w:val="00A73521"/>
    <w:rsid w:val="00A80974"/>
    <w:rsid w:val="00A907C8"/>
    <w:rsid w:val="00A90A3A"/>
    <w:rsid w:val="00A96A3A"/>
    <w:rsid w:val="00A977D1"/>
    <w:rsid w:val="00AA1200"/>
    <w:rsid w:val="00AA48A1"/>
    <w:rsid w:val="00AA51DD"/>
    <w:rsid w:val="00AB2BA7"/>
    <w:rsid w:val="00AB78BA"/>
    <w:rsid w:val="00AC5844"/>
    <w:rsid w:val="00AC72E5"/>
    <w:rsid w:val="00AD0909"/>
    <w:rsid w:val="00AD1A5C"/>
    <w:rsid w:val="00AD23C8"/>
    <w:rsid w:val="00AD293A"/>
    <w:rsid w:val="00AD7AE3"/>
    <w:rsid w:val="00B07FC9"/>
    <w:rsid w:val="00B118D0"/>
    <w:rsid w:val="00B1466E"/>
    <w:rsid w:val="00B2353E"/>
    <w:rsid w:val="00B2540B"/>
    <w:rsid w:val="00B259AF"/>
    <w:rsid w:val="00B26D5E"/>
    <w:rsid w:val="00B2770B"/>
    <w:rsid w:val="00B36C21"/>
    <w:rsid w:val="00B40E65"/>
    <w:rsid w:val="00B42508"/>
    <w:rsid w:val="00B446E3"/>
    <w:rsid w:val="00B64013"/>
    <w:rsid w:val="00B70D35"/>
    <w:rsid w:val="00B81088"/>
    <w:rsid w:val="00B9039F"/>
    <w:rsid w:val="00B92377"/>
    <w:rsid w:val="00B92EDD"/>
    <w:rsid w:val="00B9376C"/>
    <w:rsid w:val="00B96148"/>
    <w:rsid w:val="00B970AE"/>
    <w:rsid w:val="00B97BDF"/>
    <w:rsid w:val="00BA4667"/>
    <w:rsid w:val="00BA785C"/>
    <w:rsid w:val="00BA7DD5"/>
    <w:rsid w:val="00BB1549"/>
    <w:rsid w:val="00BB5078"/>
    <w:rsid w:val="00BB7A31"/>
    <w:rsid w:val="00BC4560"/>
    <w:rsid w:val="00BC51B7"/>
    <w:rsid w:val="00BC53AA"/>
    <w:rsid w:val="00BD07D5"/>
    <w:rsid w:val="00BD4F10"/>
    <w:rsid w:val="00BE0C7C"/>
    <w:rsid w:val="00BE4F04"/>
    <w:rsid w:val="00BE5D81"/>
    <w:rsid w:val="00BE6C4F"/>
    <w:rsid w:val="00BF08EE"/>
    <w:rsid w:val="00BF790D"/>
    <w:rsid w:val="00C00647"/>
    <w:rsid w:val="00C024CD"/>
    <w:rsid w:val="00C027FD"/>
    <w:rsid w:val="00C03F50"/>
    <w:rsid w:val="00C06D3E"/>
    <w:rsid w:val="00C07C19"/>
    <w:rsid w:val="00C147AA"/>
    <w:rsid w:val="00C175CE"/>
    <w:rsid w:val="00C17C25"/>
    <w:rsid w:val="00C2251F"/>
    <w:rsid w:val="00C465A8"/>
    <w:rsid w:val="00C547A0"/>
    <w:rsid w:val="00C550B9"/>
    <w:rsid w:val="00C72262"/>
    <w:rsid w:val="00C74C52"/>
    <w:rsid w:val="00C75E97"/>
    <w:rsid w:val="00C821A7"/>
    <w:rsid w:val="00C84BDD"/>
    <w:rsid w:val="00C869CC"/>
    <w:rsid w:val="00C95449"/>
    <w:rsid w:val="00CA0090"/>
    <w:rsid w:val="00CA43CD"/>
    <w:rsid w:val="00CA77F9"/>
    <w:rsid w:val="00CA7B7E"/>
    <w:rsid w:val="00CB4A5F"/>
    <w:rsid w:val="00CB5A9D"/>
    <w:rsid w:val="00CC4B5C"/>
    <w:rsid w:val="00CC6D59"/>
    <w:rsid w:val="00CC7FB6"/>
    <w:rsid w:val="00CD7B97"/>
    <w:rsid w:val="00CD7D4D"/>
    <w:rsid w:val="00CD7F8F"/>
    <w:rsid w:val="00CE181F"/>
    <w:rsid w:val="00CE2C26"/>
    <w:rsid w:val="00CE6FF0"/>
    <w:rsid w:val="00CF142B"/>
    <w:rsid w:val="00CF1477"/>
    <w:rsid w:val="00CF23A2"/>
    <w:rsid w:val="00CF4427"/>
    <w:rsid w:val="00D0030E"/>
    <w:rsid w:val="00D01A1C"/>
    <w:rsid w:val="00D2072E"/>
    <w:rsid w:val="00D21DFC"/>
    <w:rsid w:val="00D244FA"/>
    <w:rsid w:val="00D469A8"/>
    <w:rsid w:val="00D473DA"/>
    <w:rsid w:val="00D503B0"/>
    <w:rsid w:val="00D522A4"/>
    <w:rsid w:val="00D56079"/>
    <w:rsid w:val="00D60246"/>
    <w:rsid w:val="00D607E6"/>
    <w:rsid w:val="00D62866"/>
    <w:rsid w:val="00D62B34"/>
    <w:rsid w:val="00D642C3"/>
    <w:rsid w:val="00D64AA0"/>
    <w:rsid w:val="00D64D18"/>
    <w:rsid w:val="00D673EB"/>
    <w:rsid w:val="00D85759"/>
    <w:rsid w:val="00D94FEB"/>
    <w:rsid w:val="00D95327"/>
    <w:rsid w:val="00D9639E"/>
    <w:rsid w:val="00DB71BE"/>
    <w:rsid w:val="00DC035D"/>
    <w:rsid w:val="00DC1CA4"/>
    <w:rsid w:val="00DC3CAD"/>
    <w:rsid w:val="00DC67B1"/>
    <w:rsid w:val="00DD0A8C"/>
    <w:rsid w:val="00DD23A8"/>
    <w:rsid w:val="00DD744C"/>
    <w:rsid w:val="00DE153C"/>
    <w:rsid w:val="00DE338C"/>
    <w:rsid w:val="00DF1267"/>
    <w:rsid w:val="00DF17F4"/>
    <w:rsid w:val="00DF6F06"/>
    <w:rsid w:val="00E12D4A"/>
    <w:rsid w:val="00E155B7"/>
    <w:rsid w:val="00E17699"/>
    <w:rsid w:val="00E33D05"/>
    <w:rsid w:val="00E37109"/>
    <w:rsid w:val="00E41A42"/>
    <w:rsid w:val="00E43473"/>
    <w:rsid w:val="00E448FE"/>
    <w:rsid w:val="00E45911"/>
    <w:rsid w:val="00E503FB"/>
    <w:rsid w:val="00E53344"/>
    <w:rsid w:val="00E5788F"/>
    <w:rsid w:val="00E57EFA"/>
    <w:rsid w:val="00E65ABF"/>
    <w:rsid w:val="00E66310"/>
    <w:rsid w:val="00E867AC"/>
    <w:rsid w:val="00E86A2F"/>
    <w:rsid w:val="00E90C99"/>
    <w:rsid w:val="00E9153E"/>
    <w:rsid w:val="00E94224"/>
    <w:rsid w:val="00E978A2"/>
    <w:rsid w:val="00EA09CE"/>
    <w:rsid w:val="00EA6531"/>
    <w:rsid w:val="00EB1358"/>
    <w:rsid w:val="00EB1E48"/>
    <w:rsid w:val="00EB3EE6"/>
    <w:rsid w:val="00EB60EE"/>
    <w:rsid w:val="00ED0302"/>
    <w:rsid w:val="00ED2866"/>
    <w:rsid w:val="00ED34F3"/>
    <w:rsid w:val="00ED3543"/>
    <w:rsid w:val="00ED4D49"/>
    <w:rsid w:val="00ED7D5A"/>
    <w:rsid w:val="00EF27C5"/>
    <w:rsid w:val="00EF6C4F"/>
    <w:rsid w:val="00F01473"/>
    <w:rsid w:val="00F04995"/>
    <w:rsid w:val="00F23299"/>
    <w:rsid w:val="00F2498A"/>
    <w:rsid w:val="00F263A7"/>
    <w:rsid w:val="00F26A9F"/>
    <w:rsid w:val="00F30E6C"/>
    <w:rsid w:val="00F33D8F"/>
    <w:rsid w:val="00F40207"/>
    <w:rsid w:val="00F44C0D"/>
    <w:rsid w:val="00F45E31"/>
    <w:rsid w:val="00F461E6"/>
    <w:rsid w:val="00F462C5"/>
    <w:rsid w:val="00F556C8"/>
    <w:rsid w:val="00F558E1"/>
    <w:rsid w:val="00F60AAD"/>
    <w:rsid w:val="00F62FD6"/>
    <w:rsid w:val="00F65312"/>
    <w:rsid w:val="00F654C1"/>
    <w:rsid w:val="00F6745A"/>
    <w:rsid w:val="00F76B1E"/>
    <w:rsid w:val="00F77643"/>
    <w:rsid w:val="00F81299"/>
    <w:rsid w:val="00F82B6C"/>
    <w:rsid w:val="00F839DC"/>
    <w:rsid w:val="00F846C1"/>
    <w:rsid w:val="00F90C64"/>
    <w:rsid w:val="00F95856"/>
    <w:rsid w:val="00F95C33"/>
    <w:rsid w:val="00F97179"/>
    <w:rsid w:val="00F977DA"/>
    <w:rsid w:val="00FA02EE"/>
    <w:rsid w:val="00FA07FB"/>
    <w:rsid w:val="00FA1FF3"/>
    <w:rsid w:val="00FA4322"/>
    <w:rsid w:val="00FA44FF"/>
    <w:rsid w:val="00FB14EB"/>
    <w:rsid w:val="00FB23F6"/>
    <w:rsid w:val="00FB360A"/>
    <w:rsid w:val="00FB71B1"/>
    <w:rsid w:val="00FB789E"/>
    <w:rsid w:val="00FC3DB5"/>
    <w:rsid w:val="00FD1BDB"/>
    <w:rsid w:val="00FE2C61"/>
    <w:rsid w:val="00FE3AFA"/>
    <w:rsid w:val="00FF3556"/>
    <w:rsid w:val="00FF3CEE"/>
    <w:rsid w:val="00FF41D2"/>
    <w:rsid w:val="00FF571F"/>
    <w:rsid w:val="05C549C1"/>
    <w:rsid w:val="07D4090C"/>
    <w:rsid w:val="09C738A1"/>
    <w:rsid w:val="0A7E5153"/>
    <w:rsid w:val="0B995A96"/>
    <w:rsid w:val="0C19499F"/>
    <w:rsid w:val="0CD45EF3"/>
    <w:rsid w:val="0D6915F5"/>
    <w:rsid w:val="0F951A06"/>
    <w:rsid w:val="10696B58"/>
    <w:rsid w:val="109223C5"/>
    <w:rsid w:val="111D0092"/>
    <w:rsid w:val="136B7DD4"/>
    <w:rsid w:val="143D133B"/>
    <w:rsid w:val="19AB1DB0"/>
    <w:rsid w:val="19DB0C8E"/>
    <w:rsid w:val="1A9616BC"/>
    <w:rsid w:val="1F214506"/>
    <w:rsid w:val="1FE12D85"/>
    <w:rsid w:val="22233D2C"/>
    <w:rsid w:val="23BA0265"/>
    <w:rsid w:val="24FD06B2"/>
    <w:rsid w:val="25F11E3B"/>
    <w:rsid w:val="27A529A2"/>
    <w:rsid w:val="29B02A04"/>
    <w:rsid w:val="2A644BA0"/>
    <w:rsid w:val="2C76229C"/>
    <w:rsid w:val="2CBC17A0"/>
    <w:rsid w:val="30D20D78"/>
    <w:rsid w:val="34EF17D9"/>
    <w:rsid w:val="35B42522"/>
    <w:rsid w:val="3848518D"/>
    <w:rsid w:val="384B5DEA"/>
    <w:rsid w:val="3A3514C8"/>
    <w:rsid w:val="3CE022E0"/>
    <w:rsid w:val="3D5825C7"/>
    <w:rsid w:val="3E331B11"/>
    <w:rsid w:val="44AE5A7F"/>
    <w:rsid w:val="45CC7208"/>
    <w:rsid w:val="482640A9"/>
    <w:rsid w:val="4A3F1858"/>
    <w:rsid w:val="4AA8320D"/>
    <w:rsid w:val="4ADB0525"/>
    <w:rsid w:val="4C5E4856"/>
    <w:rsid w:val="4E132900"/>
    <w:rsid w:val="4F3162BC"/>
    <w:rsid w:val="4FA53BA3"/>
    <w:rsid w:val="54674EB0"/>
    <w:rsid w:val="578775EB"/>
    <w:rsid w:val="57EE39BC"/>
    <w:rsid w:val="58224F3D"/>
    <w:rsid w:val="59301CFD"/>
    <w:rsid w:val="5AA72F61"/>
    <w:rsid w:val="5BC43A3A"/>
    <w:rsid w:val="5DCD3921"/>
    <w:rsid w:val="5FA15EE6"/>
    <w:rsid w:val="60195EAB"/>
    <w:rsid w:val="62513F13"/>
    <w:rsid w:val="626424EA"/>
    <w:rsid w:val="62EF67FE"/>
    <w:rsid w:val="66006A87"/>
    <w:rsid w:val="66C31586"/>
    <w:rsid w:val="67264DA6"/>
    <w:rsid w:val="678C2DBB"/>
    <w:rsid w:val="6B5C57C5"/>
    <w:rsid w:val="6D0B2EEE"/>
    <w:rsid w:val="6EE97481"/>
    <w:rsid w:val="70E2631F"/>
    <w:rsid w:val="720364BB"/>
    <w:rsid w:val="74337BCB"/>
    <w:rsid w:val="77A841EB"/>
    <w:rsid w:val="79506175"/>
    <w:rsid w:val="7D7639DD"/>
    <w:rsid w:val="7E1F6A01"/>
    <w:rsid w:val="7F477C9E"/>
    <w:rsid w:val="7FEF13F3"/>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2249B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B36C21"/>
    <w:pPr>
      <w:widowControl w:val="0"/>
      <w:spacing w:line="360" w:lineRule="auto"/>
      <w:jc w:val="both"/>
    </w:pPr>
    <w:rPr>
      <w:rFonts w:ascii="Calibri" w:hAnsi="Calibri"/>
      <w:kern w:val="2"/>
      <w:sz w:val="24"/>
      <w:szCs w:val="24"/>
    </w:rPr>
  </w:style>
  <w:style w:type="paragraph" w:styleId="1">
    <w:name w:val="heading 1"/>
    <w:basedOn w:val="a"/>
    <w:next w:val="a"/>
    <w:link w:val="10"/>
    <w:qFormat/>
    <w:rsid w:val="00B36C21"/>
    <w:pPr>
      <w:keepNext/>
      <w:keepLines/>
      <w:spacing w:line="578" w:lineRule="auto"/>
      <w:outlineLvl w:val="0"/>
    </w:pPr>
    <w:rPr>
      <w:b/>
      <w:bCs/>
      <w:kern w:val="44"/>
      <w:sz w:val="28"/>
    </w:rPr>
  </w:style>
  <w:style w:type="paragraph" w:styleId="2">
    <w:name w:val="heading 2"/>
    <w:basedOn w:val="a"/>
    <w:next w:val="a"/>
    <w:link w:val="20"/>
    <w:unhideWhenUsed/>
    <w:qFormat/>
    <w:rsid w:val="00B36C21"/>
    <w:pPr>
      <w:keepNext/>
      <w:keepLines/>
      <w:spacing w:line="416" w:lineRule="auto"/>
      <w:outlineLvl w:val="1"/>
    </w:pPr>
    <w:rPr>
      <w:rFonts w:ascii="Cambria" w:hAnsi="Cambria"/>
      <w:b/>
      <w:bCs/>
    </w:rPr>
  </w:style>
  <w:style w:type="paragraph" w:styleId="3">
    <w:name w:val="heading 3"/>
    <w:basedOn w:val="a"/>
    <w:next w:val="a"/>
    <w:qFormat/>
    <w:rsid w:val="00B36C21"/>
    <w:pPr>
      <w:jc w:val="left"/>
      <w:outlineLvl w:val="2"/>
    </w:pPr>
    <w:rPr>
      <w:rFonts w:ascii="宋体" w:hAnsi="宋体"/>
      <w:b/>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qFormat/>
    <w:rsid w:val="00B36C21"/>
    <w:rPr>
      <w:rFonts w:ascii="宋体"/>
      <w:sz w:val="18"/>
      <w:szCs w:val="18"/>
    </w:rPr>
  </w:style>
  <w:style w:type="paragraph" w:styleId="a5">
    <w:name w:val="annotation text"/>
    <w:basedOn w:val="a"/>
    <w:link w:val="a6"/>
    <w:qFormat/>
    <w:rsid w:val="00B36C21"/>
    <w:pPr>
      <w:jc w:val="left"/>
    </w:pPr>
  </w:style>
  <w:style w:type="paragraph" w:styleId="a7">
    <w:name w:val="Title"/>
    <w:basedOn w:val="a"/>
    <w:next w:val="a"/>
    <w:link w:val="a8"/>
    <w:qFormat/>
    <w:rsid w:val="00B36C21"/>
    <w:pPr>
      <w:spacing w:before="240" w:after="60"/>
      <w:jc w:val="center"/>
      <w:outlineLvl w:val="0"/>
    </w:pPr>
    <w:rPr>
      <w:rFonts w:ascii="Cambria" w:hAnsi="Cambria"/>
      <w:b/>
      <w:bCs/>
      <w:sz w:val="32"/>
      <w:szCs w:val="32"/>
    </w:rPr>
  </w:style>
  <w:style w:type="character" w:styleId="a9">
    <w:name w:val="Strong"/>
    <w:basedOn w:val="a0"/>
    <w:qFormat/>
    <w:rsid w:val="00B36C21"/>
    <w:rPr>
      <w:b/>
    </w:rPr>
  </w:style>
  <w:style w:type="character" w:styleId="aa">
    <w:name w:val="Hyperlink"/>
    <w:basedOn w:val="a0"/>
    <w:qFormat/>
    <w:rsid w:val="00B36C21"/>
    <w:rPr>
      <w:color w:val="0000FF"/>
      <w:u w:val="single"/>
    </w:rPr>
  </w:style>
  <w:style w:type="character" w:customStyle="1" w:styleId="a4">
    <w:name w:val="文档结构图字符"/>
    <w:basedOn w:val="a0"/>
    <w:link w:val="a3"/>
    <w:qFormat/>
    <w:rsid w:val="00B36C21"/>
    <w:rPr>
      <w:rFonts w:ascii="宋体" w:hAnsi="Calibri"/>
      <w:kern w:val="2"/>
      <w:sz w:val="18"/>
      <w:szCs w:val="18"/>
    </w:rPr>
  </w:style>
  <w:style w:type="character" w:customStyle="1" w:styleId="a8">
    <w:name w:val="标题字符"/>
    <w:basedOn w:val="a0"/>
    <w:link w:val="a7"/>
    <w:qFormat/>
    <w:rsid w:val="00B36C21"/>
    <w:rPr>
      <w:rFonts w:ascii="Cambria" w:hAnsi="Cambria" w:cs="Times New Roman"/>
      <w:b/>
      <w:bCs/>
      <w:kern w:val="2"/>
      <w:sz w:val="32"/>
      <w:szCs w:val="32"/>
    </w:rPr>
  </w:style>
  <w:style w:type="character" w:customStyle="1" w:styleId="10">
    <w:name w:val="标题 1字符"/>
    <w:basedOn w:val="a0"/>
    <w:link w:val="1"/>
    <w:qFormat/>
    <w:rsid w:val="00B36C21"/>
    <w:rPr>
      <w:rFonts w:ascii="Calibri" w:hAnsi="Calibri"/>
      <w:b/>
      <w:bCs/>
      <w:kern w:val="44"/>
      <w:sz w:val="28"/>
      <w:szCs w:val="24"/>
    </w:rPr>
  </w:style>
  <w:style w:type="character" w:customStyle="1" w:styleId="20">
    <w:name w:val="标题 2字符"/>
    <w:basedOn w:val="a0"/>
    <w:link w:val="2"/>
    <w:qFormat/>
    <w:rsid w:val="00B36C21"/>
    <w:rPr>
      <w:rFonts w:ascii="Cambria" w:hAnsi="Cambria"/>
      <w:b/>
      <w:bCs/>
      <w:kern w:val="2"/>
      <w:sz w:val="24"/>
      <w:szCs w:val="24"/>
    </w:rPr>
  </w:style>
  <w:style w:type="character" w:styleId="ab">
    <w:name w:val="annotation reference"/>
    <w:basedOn w:val="a0"/>
    <w:rsid w:val="00B36C21"/>
    <w:rPr>
      <w:sz w:val="21"/>
      <w:szCs w:val="21"/>
    </w:rPr>
  </w:style>
  <w:style w:type="paragraph" w:styleId="ac">
    <w:name w:val="Balloon Text"/>
    <w:basedOn w:val="a"/>
    <w:link w:val="ad"/>
    <w:rsid w:val="00915B5E"/>
    <w:pPr>
      <w:spacing w:line="240" w:lineRule="auto"/>
    </w:pPr>
    <w:rPr>
      <w:sz w:val="18"/>
      <w:szCs w:val="18"/>
    </w:rPr>
  </w:style>
  <w:style w:type="character" w:customStyle="1" w:styleId="ad">
    <w:name w:val="批注框文本字符"/>
    <w:basedOn w:val="a0"/>
    <w:link w:val="ac"/>
    <w:rsid w:val="00915B5E"/>
    <w:rPr>
      <w:rFonts w:ascii="Calibri" w:hAnsi="Calibri"/>
      <w:kern w:val="2"/>
      <w:sz w:val="18"/>
      <w:szCs w:val="18"/>
    </w:rPr>
  </w:style>
  <w:style w:type="paragraph" w:styleId="ae">
    <w:name w:val="header"/>
    <w:basedOn w:val="a"/>
    <w:link w:val="af"/>
    <w:uiPriority w:val="99"/>
    <w:rsid w:val="00915B5E"/>
    <w:pPr>
      <w:pBdr>
        <w:bottom w:val="single" w:sz="6" w:space="1" w:color="auto"/>
      </w:pBdr>
      <w:tabs>
        <w:tab w:val="center" w:pos="4153"/>
        <w:tab w:val="right" w:pos="8306"/>
      </w:tabs>
      <w:snapToGrid w:val="0"/>
      <w:spacing w:line="240" w:lineRule="auto"/>
      <w:jc w:val="center"/>
    </w:pPr>
    <w:rPr>
      <w:sz w:val="18"/>
      <w:szCs w:val="18"/>
    </w:rPr>
  </w:style>
  <w:style w:type="character" w:customStyle="1" w:styleId="af">
    <w:name w:val="页眉字符"/>
    <w:basedOn w:val="a0"/>
    <w:link w:val="ae"/>
    <w:uiPriority w:val="99"/>
    <w:rsid w:val="00915B5E"/>
    <w:rPr>
      <w:rFonts w:ascii="Calibri" w:hAnsi="Calibri"/>
      <w:kern w:val="2"/>
      <w:sz w:val="18"/>
      <w:szCs w:val="18"/>
    </w:rPr>
  </w:style>
  <w:style w:type="paragraph" w:styleId="af0">
    <w:name w:val="footer"/>
    <w:basedOn w:val="a"/>
    <w:link w:val="af1"/>
    <w:uiPriority w:val="99"/>
    <w:rsid w:val="00915B5E"/>
    <w:pPr>
      <w:tabs>
        <w:tab w:val="center" w:pos="4153"/>
        <w:tab w:val="right" w:pos="8306"/>
      </w:tabs>
      <w:snapToGrid w:val="0"/>
      <w:spacing w:line="240" w:lineRule="auto"/>
      <w:jc w:val="left"/>
    </w:pPr>
    <w:rPr>
      <w:sz w:val="18"/>
      <w:szCs w:val="18"/>
    </w:rPr>
  </w:style>
  <w:style w:type="character" w:customStyle="1" w:styleId="af1">
    <w:name w:val="页脚字符"/>
    <w:basedOn w:val="a0"/>
    <w:link w:val="af0"/>
    <w:uiPriority w:val="99"/>
    <w:rsid w:val="00915B5E"/>
    <w:rPr>
      <w:rFonts w:ascii="Calibri" w:hAnsi="Calibri"/>
      <w:kern w:val="2"/>
      <w:sz w:val="18"/>
      <w:szCs w:val="18"/>
    </w:rPr>
  </w:style>
  <w:style w:type="paragraph" w:styleId="af2">
    <w:name w:val="Date"/>
    <w:basedOn w:val="a"/>
    <w:next w:val="a"/>
    <w:link w:val="af3"/>
    <w:rsid w:val="00930B39"/>
    <w:pPr>
      <w:ind w:leftChars="2500" w:left="100"/>
    </w:pPr>
  </w:style>
  <w:style w:type="character" w:customStyle="1" w:styleId="af3">
    <w:name w:val="日期字符"/>
    <w:basedOn w:val="a0"/>
    <w:link w:val="af2"/>
    <w:rsid w:val="00930B39"/>
    <w:rPr>
      <w:rFonts w:ascii="Calibri" w:hAnsi="Calibri"/>
      <w:kern w:val="2"/>
      <w:sz w:val="24"/>
      <w:szCs w:val="24"/>
    </w:rPr>
  </w:style>
  <w:style w:type="paragraph" w:styleId="af4">
    <w:name w:val="annotation subject"/>
    <w:basedOn w:val="a5"/>
    <w:next w:val="a5"/>
    <w:link w:val="af5"/>
    <w:rsid w:val="005D1E04"/>
    <w:rPr>
      <w:b/>
      <w:bCs/>
    </w:rPr>
  </w:style>
  <w:style w:type="character" w:customStyle="1" w:styleId="a6">
    <w:name w:val="批注文字字符"/>
    <w:basedOn w:val="a0"/>
    <w:link w:val="a5"/>
    <w:rsid w:val="005D1E04"/>
    <w:rPr>
      <w:rFonts w:ascii="Calibri" w:hAnsi="Calibri"/>
      <w:kern w:val="2"/>
      <w:sz w:val="24"/>
      <w:szCs w:val="24"/>
    </w:rPr>
  </w:style>
  <w:style w:type="character" w:customStyle="1" w:styleId="af5">
    <w:name w:val="批注主题字符"/>
    <w:basedOn w:val="a6"/>
    <w:link w:val="af4"/>
    <w:rsid w:val="005D1E04"/>
    <w:rPr>
      <w:rFonts w:ascii="Calibri" w:hAnsi="Calibr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hc.unesco.org/en/news/1256" TargetMode="External"/><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6D183C-D733-D34B-82FC-F266D44A6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568</TotalTime>
  <Pages>6</Pages>
  <Words>1085</Words>
  <Characters>6188</Characters>
  <Application>Microsoft Macintosh Word</Application>
  <DocSecurity>0</DocSecurity>
  <Lines>51</Lines>
  <Paragraphs>14</Paragraphs>
  <ScaleCrop>false</ScaleCrop>
  <HeadingPairs>
    <vt:vector size="2" baseType="variant">
      <vt:variant>
        <vt:lpstr>标题</vt:lpstr>
      </vt:variant>
      <vt:variant>
        <vt:i4>1</vt:i4>
      </vt:variant>
    </vt:vector>
  </HeadingPairs>
  <TitlesOfParts>
    <vt:vector size="1" baseType="lpstr">
      <vt:lpstr/>
    </vt:vector>
  </TitlesOfParts>
  <Company>China</Company>
  <LinksUpToDate>false</LinksUpToDate>
  <CharactersWithSpaces>7259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 Office 用户</cp:lastModifiedBy>
  <cp:revision>44</cp:revision>
  <cp:lastPrinted>2017-03-06T06:24:00Z</cp:lastPrinted>
  <dcterms:created xsi:type="dcterms:W3CDTF">2017-03-21T07:03:00Z</dcterms:created>
  <dcterms:modified xsi:type="dcterms:W3CDTF">2018-04-24T17:53:00Z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2052-10.1.0.6207</vt:lpwstr>
  </property>
</Properties>
</file>